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6B8" w:rsidRPr="00A176B8" w:rsidRDefault="00A176B8" w:rsidP="00A176B8">
      <w:pPr>
        <w:widowControl/>
        <w:spacing w:before="300" w:after="150"/>
        <w:jc w:val="left"/>
        <w:outlineLvl w:val="2"/>
        <w:rPr>
          <w:rFonts w:ascii="inherit" w:eastAsia="宋体" w:hAnsi="inherit" w:cs="Helvetica"/>
          <w:color w:val="333333"/>
          <w:kern w:val="0"/>
          <w:sz w:val="36"/>
          <w:szCs w:val="36"/>
        </w:rPr>
      </w:pPr>
      <w:r w:rsidRPr="00A176B8">
        <w:rPr>
          <w:rFonts w:ascii="inherit" w:eastAsia="宋体" w:hAnsi="inherit" w:cs="Helvetica"/>
          <w:color w:val="333333"/>
          <w:kern w:val="0"/>
          <w:sz w:val="36"/>
          <w:szCs w:val="36"/>
        </w:rPr>
        <w:t>关于组织学习教育部关于非学历教育管理制度的通知</w:t>
      </w:r>
      <w:r w:rsidRPr="00A176B8">
        <w:rPr>
          <w:rFonts w:ascii="inherit" w:eastAsia="宋体" w:hAnsi="inherit" w:cs="Helvetica"/>
          <w:color w:val="333333"/>
          <w:kern w:val="0"/>
          <w:sz w:val="36"/>
          <w:szCs w:val="36"/>
        </w:rPr>
        <w:t xml:space="preserve"> </w:t>
      </w:r>
    </w:p>
    <w:p w:rsidR="00A176B8" w:rsidRPr="00A176B8" w:rsidRDefault="00A176B8" w:rsidP="00A176B8">
      <w:pPr>
        <w:widowControl/>
        <w:spacing w:after="150"/>
        <w:jc w:val="left"/>
        <w:rPr>
          <w:rFonts w:ascii="Helvetica" w:eastAsia="宋体" w:hAnsi="Helvetica" w:cs="Helvetica"/>
          <w:color w:val="333333"/>
          <w:kern w:val="0"/>
          <w:szCs w:val="21"/>
        </w:rPr>
      </w:pPr>
      <w:r w:rsidRPr="00A176B8">
        <w:rPr>
          <w:rFonts w:ascii="Helvetica" w:eastAsia="宋体" w:hAnsi="Helvetica" w:cs="Helvetica"/>
          <w:color w:val="333333"/>
          <w:kern w:val="0"/>
          <w:szCs w:val="21"/>
        </w:rPr>
        <w:t>发布单位：暨南大学法律事务部</w:t>
      </w:r>
      <w:r w:rsidRPr="00A176B8">
        <w:rPr>
          <w:rFonts w:ascii="Helvetica" w:eastAsia="宋体" w:hAnsi="Helvetica" w:cs="Helvetica"/>
          <w:color w:val="333333"/>
          <w:kern w:val="0"/>
          <w:szCs w:val="21"/>
        </w:rPr>
        <w:t xml:space="preserve"> [2022-02-24 08:29:42] </w:t>
      </w:r>
      <w:hyperlink r:id="rId4" w:history="1">
        <w:proofErr w:type="gramStart"/>
        <w:r w:rsidRPr="00A176B8">
          <w:rPr>
            <w:rFonts w:ascii="Helvetica" w:eastAsia="宋体" w:hAnsi="Helvetica" w:cs="Helvetica"/>
            <w:color w:val="337AB7"/>
            <w:kern w:val="0"/>
            <w:szCs w:val="21"/>
          </w:rPr>
          <w:t>打印此</w:t>
        </w:r>
        <w:proofErr w:type="gramEnd"/>
        <w:r w:rsidRPr="00A176B8">
          <w:rPr>
            <w:rFonts w:ascii="Helvetica" w:eastAsia="宋体" w:hAnsi="Helvetica" w:cs="Helvetica"/>
            <w:color w:val="337AB7"/>
            <w:kern w:val="0"/>
            <w:szCs w:val="21"/>
          </w:rPr>
          <w:t>信息</w:t>
        </w:r>
      </w:hyperlink>
      <w:r w:rsidRPr="00A176B8">
        <w:rPr>
          <w:rFonts w:ascii="Helvetica" w:eastAsia="宋体" w:hAnsi="Helvetica" w:cs="Helvetica"/>
          <w:color w:val="333333"/>
          <w:kern w:val="0"/>
          <w:szCs w:val="21"/>
        </w:rPr>
        <w:t xml:space="preserve"> </w:t>
      </w:r>
    </w:p>
    <w:p w:rsidR="00A176B8" w:rsidRPr="00A176B8" w:rsidRDefault="00A176B8" w:rsidP="00A176B8">
      <w:pPr>
        <w:widowControl/>
        <w:spacing w:line="480" w:lineRule="atLeast"/>
        <w:jc w:val="left"/>
        <w:rPr>
          <w:rFonts w:ascii="Helvetica" w:eastAsia="宋体" w:hAnsi="Helvetica" w:cs="Helvetica"/>
          <w:color w:val="333333"/>
          <w:kern w:val="0"/>
          <w:szCs w:val="21"/>
        </w:rPr>
      </w:pPr>
      <w:r w:rsidRPr="00A176B8">
        <w:rPr>
          <w:rFonts w:ascii="fangsong_gb2312" w:eastAsia="宋体" w:hAnsi="fangsong_gb2312" w:cs="宋体"/>
          <w:color w:val="333333"/>
          <w:kern w:val="0"/>
          <w:sz w:val="32"/>
          <w:szCs w:val="32"/>
        </w:rPr>
        <w:t>各学院、研究院党组织，各相关部门：</w:t>
      </w:r>
    </w:p>
    <w:p w:rsidR="00A176B8" w:rsidRPr="00A176B8" w:rsidRDefault="00A176B8" w:rsidP="00A176B8">
      <w:pPr>
        <w:widowControl/>
        <w:spacing w:line="480" w:lineRule="atLeast"/>
        <w:ind w:firstLineChars="200" w:firstLine="64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2021年11月，教育部印发《普通高等学校举办非学历教育管理规定（试行)〉》（教职</w:t>
      </w:r>
      <w:proofErr w:type="gramStart"/>
      <w:r w:rsidRPr="00A176B8">
        <w:rPr>
          <w:rFonts w:ascii="仿宋_GB2312" w:eastAsia="仿宋_GB2312" w:hAnsi="仿宋_GB2312" w:cs="宋体" w:hint="eastAsia"/>
          <w:color w:val="333333"/>
          <w:kern w:val="0"/>
          <w:sz w:val="32"/>
          <w:szCs w:val="32"/>
        </w:rPr>
        <w:t>成厅函</w:t>
      </w:r>
      <w:proofErr w:type="gramEnd"/>
      <w:r w:rsidRPr="00A176B8">
        <w:rPr>
          <w:rFonts w:ascii="仿宋_GB2312" w:eastAsia="仿宋_GB2312" w:hAnsi="仿宋_GB2312" w:cs="宋体" w:hint="eastAsia"/>
          <w:color w:val="333333"/>
          <w:kern w:val="0"/>
          <w:sz w:val="32"/>
          <w:szCs w:val="32"/>
        </w:rPr>
        <w:t>〔2021〕23号），对规范高校非学历教育办学与管理提出了明确要求。近期，广东省教育厅专门发文，对我省高校认真学习、贯彻落实该制度，开展自查整改做出了具体部署。</w:t>
      </w:r>
    </w:p>
    <w:p w:rsidR="00A176B8" w:rsidRPr="00A176B8" w:rsidRDefault="00A176B8" w:rsidP="00A176B8">
      <w:pPr>
        <w:widowControl/>
        <w:spacing w:line="480" w:lineRule="atLeast"/>
        <w:ind w:firstLineChars="200" w:firstLine="64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按照校领导指示，现将该制度转发给学校各单位，请各单位党组织近期立即组织召开专题会议，认真学习领会制度要求，切实抓好贯彻落实。</w:t>
      </w:r>
    </w:p>
    <w:p w:rsidR="00A176B8" w:rsidRPr="00A176B8" w:rsidRDefault="00A176B8" w:rsidP="00A176B8">
      <w:pPr>
        <w:widowControl/>
        <w:spacing w:line="480" w:lineRule="atLeast"/>
        <w:ind w:firstLineChars="200" w:firstLine="64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教育部关于非学历教育管理制度以及广东省关于非学历教育管理的要点是：</w:t>
      </w:r>
    </w:p>
    <w:p w:rsidR="00A176B8" w:rsidRPr="00A176B8" w:rsidRDefault="00A176B8" w:rsidP="00A176B8">
      <w:pPr>
        <w:widowControl/>
        <w:spacing w:line="480" w:lineRule="atLeast"/>
        <w:ind w:firstLineChars="200" w:firstLine="64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一、本制度所称非学历教育是指高校在学历教育之外面向社会举办的，以提升受教育者专业素质、职业技能、文化水平或者满足个人兴趣等为目的的各类培训、进修、研修、辅导等教育活动。以获得高等教育自学考试毕业证书为目的的自学考试辅导不在本规定的适用范围内。</w:t>
      </w:r>
    </w:p>
    <w:p w:rsidR="00A176B8" w:rsidRPr="00A176B8" w:rsidRDefault="00A176B8" w:rsidP="00A176B8">
      <w:pPr>
        <w:widowControl/>
        <w:spacing w:line="480" w:lineRule="atLeast"/>
        <w:ind w:firstLineChars="200" w:firstLine="64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二、学校党委对非学历教育应履行办学治校主体责任。各办班单位党组织要强化基层党组织对非学历教育工作的政治把关作用，健全非学历教育管理体制机制。归口管理部门负责</w:t>
      </w:r>
      <w:proofErr w:type="gramStart"/>
      <w:r w:rsidRPr="00A176B8">
        <w:rPr>
          <w:rFonts w:ascii="仿宋_GB2312" w:eastAsia="仿宋_GB2312" w:hAnsi="仿宋_GB2312" w:cs="宋体" w:hint="eastAsia"/>
          <w:color w:val="333333"/>
          <w:kern w:val="0"/>
          <w:sz w:val="32"/>
          <w:szCs w:val="32"/>
        </w:rPr>
        <w:t>全校非</w:t>
      </w:r>
      <w:proofErr w:type="gramEnd"/>
      <w:r w:rsidRPr="00A176B8">
        <w:rPr>
          <w:rFonts w:ascii="仿宋_GB2312" w:eastAsia="仿宋_GB2312" w:hAnsi="仿宋_GB2312" w:cs="宋体" w:hint="eastAsia"/>
          <w:color w:val="333333"/>
          <w:kern w:val="0"/>
          <w:sz w:val="32"/>
          <w:szCs w:val="32"/>
        </w:rPr>
        <w:t>学历教育的统筹协调和规范管理。</w:t>
      </w:r>
    </w:p>
    <w:p w:rsidR="00A176B8" w:rsidRPr="00A176B8" w:rsidRDefault="00A176B8" w:rsidP="00A176B8">
      <w:pPr>
        <w:widowControl/>
        <w:spacing w:line="480" w:lineRule="atLeast"/>
        <w:ind w:firstLineChars="200" w:firstLine="64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lastRenderedPageBreak/>
        <w:t>三、各办班单位要深入学习领会、全面准确理解把握制度精神,强化非学历教育的公益属性，依托学科专业优势和特色，与发展定位相一致、与办学能力相适应。</w:t>
      </w:r>
    </w:p>
    <w:p w:rsidR="00A176B8" w:rsidRPr="00A176B8" w:rsidRDefault="00A176B8" w:rsidP="00A176B8">
      <w:pPr>
        <w:widowControl/>
        <w:spacing w:line="480" w:lineRule="atLeast"/>
        <w:ind w:firstLineChars="200" w:firstLine="64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四、高校举办非学历教育原则上要以自招、自办、自管为主。</w:t>
      </w:r>
    </w:p>
    <w:p w:rsidR="00A176B8" w:rsidRPr="00A176B8" w:rsidRDefault="00A176B8" w:rsidP="00A176B8">
      <w:pPr>
        <w:widowControl/>
        <w:spacing w:after="150"/>
        <w:ind w:firstLineChars="200" w:firstLine="640"/>
        <w:jc w:val="left"/>
        <w:rPr>
          <w:rFonts w:ascii="Helvetica" w:eastAsia="宋体" w:hAnsi="Helvetica" w:cs="Helvetica"/>
          <w:color w:val="333333"/>
          <w:kern w:val="0"/>
          <w:szCs w:val="21"/>
        </w:rPr>
      </w:pPr>
      <w:r w:rsidRPr="00A176B8">
        <w:rPr>
          <w:rFonts w:ascii="仿宋_GB2312" w:eastAsia="仿宋_GB2312" w:hAnsi="仿宋_GB2312" w:cs="Helvetica" w:hint="eastAsia"/>
          <w:color w:val="333333"/>
          <w:kern w:val="0"/>
          <w:sz w:val="32"/>
          <w:szCs w:val="32"/>
        </w:rPr>
        <w:t>五、学校非实体性质的单位、职能管理部门、群团组织及教职员工个人不得以学校名义举办非学历教育。学校独资、挂靠、参股、合作举办的独立法人单位，不得以学校名义举办非学历教育</w:t>
      </w:r>
      <w:r w:rsidRPr="00A176B8">
        <w:rPr>
          <w:rFonts w:ascii="仿宋_GB2312" w:eastAsia="仿宋_GB2312" w:hAnsi="仿宋_GB2312" w:cs="宋体" w:hint="eastAsia"/>
          <w:color w:val="333333"/>
          <w:kern w:val="0"/>
          <w:sz w:val="32"/>
          <w:szCs w:val="32"/>
        </w:rPr>
        <w:t>；法人名称中带有学校全称或简称的，如举办非学历教育应纳入学校统一管理。</w:t>
      </w:r>
    </w:p>
    <w:p w:rsidR="00A176B8" w:rsidRPr="00A176B8" w:rsidRDefault="00A176B8" w:rsidP="00A176B8">
      <w:pPr>
        <w:widowControl/>
        <w:spacing w:line="480" w:lineRule="atLeast"/>
        <w:ind w:firstLineChars="200" w:firstLine="64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六、严格规范非学历教育招生行为，办班单位应自行组织招生，严禁委托校外机构进行代理招生。严格控制非学历教育合作办学。严禁转移、下放、出让管理权、办学权、招生权和教学权，严禁项目整体外包。</w:t>
      </w:r>
    </w:p>
    <w:p w:rsidR="00A176B8" w:rsidRPr="00A176B8" w:rsidRDefault="00A176B8" w:rsidP="00A176B8">
      <w:pPr>
        <w:widowControl/>
        <w:spacing w:line="480" w:lineRule="atLeast"/>
        <w:ind w:firstLineChars="200" w:firstLine="64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七、非学历教育合作办学合同须经归口管理部门统一审批。非学历教育结业证书应由归口管理部门统一制作、分类连续编号，与学历教育证书明显区别。</w:t>
      </w:r>
    </w:p>
    <w:p w:rsidR="00A176B8" w:rsidRPr="00A176B8" w:rsidRDefault="00A176B8" w:rsidP="00A176B8">
      <w:pPr>
        <w:widowControl/>
        <w:spacing w:line="480" w:lineRule="atLeast"/>
        <w:ind w:firstLineChars="200" w:firstLine="64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八、非学历教育办学所有收入纳入学校预算，统一核算，统一管理。严禁合作方以任何名义收取费用。</w:t>
      </w:r>
    </w:p>
    <w:p w:rsidR="00A176B8" w:rsidRPr="00A176B8" w:rsidRDefault="00A176B8" w:rsidP="00A176B8">
      <w:pPr>
        <w:widowControl/>
        <w:spacing w:line="480" w:lineRule="atLeast"/>
        <w:ind w:firstLineChars="200" w:firstLine="64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九、自2022年起，各高校应将当年非学历教育办学情况向省教育厅书面报告，并主动向社会公开。</w:t>
      </w:r>
    </w:p>
    <w:p w:rsidR="00A176B8" w:rsidRPr="00A176B8" w:rsidRDefault="00A176B8" w:rsidP="00A176B8">
      <w:pPr>
        <w:widowControl/>
        <w:spacing w:line="480" w:lineRule="atLeast"/>
        <w:ind w:firstLineChars="200" w:firstLine="64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lastRenderedPageBreak/>
        <w:t>根据学校校长办公会议决议，学校境内非学历教育（培训类）项目由党政办公室法律事务部归口管理，所有非学历教育培训合同由法律事务部归口审核；高级研修项目由研究生院归口管理，涉外非学历教育由国际交流合作处归口管理。</w:t>
      </w:r>
    </w:p>
    <w:p w:rsidR="00A176B8" w:rsidRPr="00A176B8" w:rsidRDefault="00A176B8" w:rsidP="00A176B8">
      <w:pPr>
        <w:widowControl/>
        <w:spacing w:line="480" w:lineRule="atLeast"/>
        <w:ind w:firstLineChars="200" w:firstLine="64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请归口管理单位切实履行归口管理职责，各办班单位按照以上要求对照《规定》逐条开展自查，认真学习、切实贯彻落实。各单位在贯彻落实过程中的重要情况和问题请及时向法律事务部及归口管理单位报告。党政办公室法律事务部将适时对《规定》执行情况进行调研和检查。</w:t>
      </w:r>
    </w:p>
    <w:p w:rsidR="00A176B8" w:rsidRPr="00A176B8" w:rsidRDefault="00A176B8" w:rsidP="00A176B8">
      <w:pPr>
        <w:widowControl/>
        <w:spacing w:line="480" w:lineRule="atLeast"/>
        <w:ind w:firstLineChars="200" w:firstLine="64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联系人及联系电话：法律事务部王婧雅，85226615；陈慧瑛，85222823。</w:t>
      </w:r>
    </w:p>
    <w:p w:rsidR="00A176B8" w:rsidRPr="00A176B8" w:rsidRDefault="00A176B8" w:rsidP="00A176B8">
      <w:pPr>
        <w:widowControl/>
        <w:spacing w:line="480" w:lineRule="atLeast"/>
        <w:ind w:firstLineChars="200" w:firstLine="64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 </w:t>
      </w:r>
    </w:p>
    <w:p w:rsidR="00A176B8" w:rsidRPr="00A176B8" w:rsidRDefault="00A176B8" w:rsidP="00A176B8">
      <w:pPr>
        <w:widowControl/>
        <w:spacing w:line="480" w:lineRule="atLeast"/>
        <w:ind w:left="960" w:hangingChars="300" w:hanging="96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附件：</w:t>
      </w:r>
      <w:r w:rsidRPr="00A176B8">
        <w:rPr>
          <w:rFonts w:ascii="仿宋_GB2312" w:eastAsia="仿宋_GB2312" w:hAnsi="仿宋_GB2312" w:cs="宋体"/>
          <w:noProof/>
          <w:color w:val="333333"/>
          <w:kern w:val="0"/>
          <w:sz w:val="32"/>
          <w:szCs w:val="32"/>
        </w:rPr>
        <w:drawing>
          <wp:inline distT="0" distB="0" distL="0" distR="0">
            <wp:extent cx="152400" cy="152400"/>
            <wp:effectExtent l="0" t="0" r="0" b="0"/>
            <wp:docPr id="1" name="图片 1" descr="https://www.jnu.edu.cn/_ueditor/themes/default/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nu.edu.cn/_ueditor/themes/default/images/icon_pdf.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Pr="00A176B8">
          <w:rPr>
            <w:rFonts w:ascii="仿宋_GB2312" w:eastAsia="仿宋_GB2312" w:hAnsi="仿宋_GB2312" w:cs="宋体" w:hint="eastAsia"/>
            <w:color w:val="337AB7"/>
            <w:kern w:val="0"/>
            <w:sz w:val="32"/>
            <w:szCs w:val="32"/>
          </w:rPr>
          <w:t>教育部办公厅印发《普通高等学校举办非学历教育管理规定（试行)〉》的通知（教职</w:t>
        </w:r>
        <w:proofErr w:type="gramStart"/>
        <w:r w:rsidRPr="00A176B8">
          <w:rPr>
            <w:rFonts w:ascii="仿宋_GB2312" w:eastAsia="仿宋_GB2312" w:hAnsi="仿宋_GB2312" w:cs="宋体" w:hint="eastAsia"/>
            <w:color w:val="337AB7"/>
            <w:kern w:val="0"/>
            <w:sz w:val="32"/>
            <w:szCs w:val="32"/>
          </w:rPr>
          <w:t>成厅函</w:t>
        </w:r>
        <w:proofErr w:type="gramEnd"/>
        <w:r w:rsidRPr="00A176B8">
          <w:rPr>
            <w:rFonts w:ascii="仿宋_GB2312" w:eastAsia="仿宋_GB2312" w:hAnsi="仿宋_GB2312" w:cs="宋体" w:hint="eastAsia"/>
            <w:color w:val="337AB7"/>
            <w:kern w:val="0"/>
            <w:sz w:val="32"/>
            <w:szCs w:val="32"/>
          </w:rPr>
          <w:t>〔2021〕23号）.pdf</w:t>
        </w:r>
      </w:hyperlink>
    </w:p>
    <w:p w:rsidR="00A176B8" w:rsidRPr="00A176B8" w:rsidRDefault="00A176B8" w:rsidP="00A176B8">
      <w:pPr>
        <w:widowControl/>
        <w:spacing w:line="480" w:lineRule="atLeast"/>
        <w:ind w:firstLineChars="200" w:firstLine="640"/>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 </w:t>
      </w:r>
    </w:p>
    <w:p w:rsidR="00A176B8" w:rsidRPr="00A176B8" w:rsidRDefault="00A176B8" w:rsidP="00A176B8">
      <w:pPr>
        <w:widowControl/>
        <w:spacing w:line="480" w:lineRule="atLeast"/>
        <w:jc w:val="lef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 </w:t>
      </w:r>
    </w:p>
    <w:p w:rsidR="00A176B8" w:rsidRPr="00A176B8" w:rsidRDefault="00A176B8" w:rsidP="00A176B8">
      <w:pPr>
        <w:widowControl/>
        <w:spacing w:line="480" w:lineRule="atLeast"/>
        <w:ind w:firstLineChars="1600" w:firstLine="5120"/>
        <w:jc w:val="righ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 xml:space="preserve"> 党政办公室</w:t>
      </w:r>
    </w:p>
    <w:p w:rsidR="00A176B8" w:rsidRPr="00A176B8" w:rsidRDefault="00A176B8" w:rsidP="00A176B8">
      <w:pPr>
        <w:widowControl/>
        <w:spacing w:line="480" w:lineRule="atLeast"/>
        <w:ind w:firstLineChars="1500" w:firstLine="4800"/>
        <w:jc w:val="right"/>
        <w:rPr>
          <w:rFonts w:ascii="Helvetica" w:eastAsia="宋体" w:hAnsi="Helvetica" w:cs="Helvetica"/>
          <w:color w:val="333333"/>
          <w:kern w:val="0"/>
          <w:szCs w:val="21"/>
        </w:rPr>
      </w:pPr>
      <w:r w:rsidRPr="00A176B8">
        <w:rPr>
          <w:rFonts w:ascii="仿宋_GB2312" w:eastAsia="仿宋_GB2312" w:hAnsi="仿宋_GB2312" w:cs="宋体" w:hint="eastAsia"/>
          <w:color w:val="333333"/>
          <w:kern w:val="0"/>
          <w:sz w:val="32"/>
          <w:szCs w:val="32"/>
        </w:rPr>
        <w:t>2022年2月23日</w:t>
      </w:r>
    </w:p>
    <w:p w:rsidR="003A5D51" w:rsidRDefault="003A5D51">
      <w:bookmarkStart w:id="0" w:name="_GoBack"/>
      <w:bookmarkEnd w:id="0"/>
    </w:p>
    <w:sectPr w:rsidR="003A5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fangsong_gb2312">
    <w:panose1 w:val="02010609060101010101"/>
    <w:charset w:val="00"/>
    <w:family w:val="roman"/>
    <w:notTrueType/>
    <w:pitch w:val="default"/>
  </w:font>
  <w:font w:name="仿宋_GB2312">
    <w:altName w:val="FangSong_GB2312"/>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B8"/>
    <w:rsid w:val="00146C1B"/>
    <w:rsid w:val="003A5D51"/>
    <w:rsid w:val="00A1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1E288-65F7-418C-9EA7-421317BC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A176B8"/>
    <w:pPr>
      <w:widowControl/>
      <w:spacing w:before="300" w:after="150"/>
      <w:jc w:val="left"/>
      <w:outlineLvl w:val="2"/>
    </w:pPr>
    <w:rPr>
      <w:rFonts w:ascii="inherit" w:eastAsia="宋体" w:hAnsi="inherit"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176B8"/>
    <w:rPr>
      <w:rFonts w:ascii="inherit" w:eastAsia="宋体" w:hAnsi="inherit" w:cs="宋体"/>
      <w:kern w:val="0"/>
      <w:sz w:val="36"/>
      <w:szCs w:val="36"/>
    </w:rPr>
  </w:style>
  <w:style w:type="character" w:styleId="a3">
    <w:name w:val="Hyperlink"/>
    <w:basedOn w:val="a0"/>
    <w:uiPriority w:val="99"/>
    <w:semiHidden/>
    <w:unhideWhenUsed/>
    <w:rsid w:val="00A176B8"/>
    <w:rPr>
      <w:strike w:val="0"/>
      <w:dstrike w:val="0"/>
      <w:color w:val="337AB7"/>
      <w:u w:val="none"/>
      <w:effect w:val="none"/>
      <w:shd w:val="clear" w:color="auto" w:fill="auto"/>
    </w:rPr>
  </w:style>
  <w:style w:type="paragraph" w:styleId="a4">
    <w:name w:val="Normal (Web)"/>
    <w:basedOn w:val="a"/>
    <w:uiPriority w:val="99"/>
    <w:semiHidden/>
    <w:unhideWhenUsed/>
    <w:rsid w:val="00A176B8"/>
    <w:pPr>
      <w:widowControl/>
      <w:spacing w:after="150"/>
      <w:jc w:val="left"/>
    </w:pPr>
    <w:rPr>
      <w:rFonts w:ascii="宋体" w:eastAsia="宋体" w:hAnsi="宋体" w:cs="宋体"/>
      <w:kern w:val="0"/>
      <w:sz w:val="24"/>
      <w:szCs w:val="24"/>
    </w:rPr>
  </w:style>
  <w:style w:type="paragraph" w:styleId="a5">
    <w:name w:val="Plain Text"/>
    <w:basedOn w:val="a"/>
    <w:link w:val="a6"/>
    <w:uiPriority w:val="99"/>
    <w:semiHidden/>
    <w:unhideWhenUsed/>
    <w:rsid w:val="00A176B8"/>
    <w:pPr>
      <w:widowControl/>
      <w:spacing w:after="150"/>
      <w:jc w:val="left"/>
    </w:pPr>
    <w:rPr>
      <w:rFonts w:ascii="宋体" w:eastAsia="宋体" w:hAnsi="宋体" w:cs="宋体"/>
      <w:kern w:val="0"/>
      <w:sz w:val="24"/>
      <w:szCs w:val="24"/>
    </w:rPr>
  </w:style>
  <w:style w:type="character" w:customStyle="1" w:styleId="a6">
    <w:name w:val="纯文本 字符"/>
    <w:basedOn w:val="a0"/>
    <w:link w:val="a5"/>
    <w:uiPriority w:val="99"/>
    <w:semiHidden/>
    <w:rsid w:val="00A176B8"/>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15711">
      <w:bodyDiv w:val="1"/>
      <w:marLeft w:val="0"/>
      <w:marRight w:val="0"/>
      <w:marTop w:val="0"/>
      <w:marBottom w:val="0"/>
      <w:divBdr>
        <w:top w:val="none" w:sz="0" w:space="0" w:color="auto"/>
        <w:left w:val="none" w:sz="0" w:space="0" w:color="auto"/>
        <w:bottom w:val="none" w:sz="0" w:space="0" w:color="auto"/>
        <w:right w:val="none" w:sz="0" w:space="0" w:color="auto"/>
      </w:divBdr>
      <w:divsChild>
        <w:div w:id="266037928">
          <w:marLeft w:val="0"/>
          <w:marRight w:val="0"/>
          <w:marTop w:val="0"/>
          <w:marBottom w:val="0"/>
          <w:divBdr>
            <w:top w:val="none" w:sz="0" w:space="0" w:color="auto"/>
            <w:left w:val="none" w:sz="0" w:space="0" w:color="auto"/>
            <w:bottom w:val="none" w:sz="0" w:space="0" w:color="auto"/>
            <w:right w:val="none" w:sz="0" w:space="0" w:color="auto"/>
          </w:divBdr>
          <w:divsChild>
            <w:div w:id="808594445">
              <w:marLeft w:val="0"/>
              <w:marRight w:val="0"/>
              <w:marTop w:val="0"/>
              <w:marBottom w:val="0"/>
              <w:divBdr>
                <w:top w:val="none" w:sz="0" w:space="0" w:color="auto"/>
                <w:left w:val="none" w:sz="0" w:space="0" w:color="auto"/>
                <w:bottom w:val="none" w:sz="0" w:space="0" w:color="auto"/>
                <w:right w:val="none" w:sz="0" w:space="0" w:color="auto"/>
              </w:divBdr>
              <w:divsChild>
                <w:div w:id="2072385235">
                  <w:marLeft w:val="0"/>
                  <w:marRight w:val="0"/>
                  <w:marTop w:val="0"/>
                  <w:marBottom w:val="0"/>
                  <w:divBdr>
                    <w:top w:val="none" w:sz="0" w:space="0" w:color="auto"/>
                    <w:left w:val="none" w:sz="0" w:space="0" w:color="auto"/>
                    <w:bottom w:val="none" w:sz="0" w:space="0" w:color="auto"/>
                    <w:right w:val="none" w:sz="0" w:space="0" w:color="auto"/>
                  </w:divBdr>
                  <w:divsChild>
                    <w:div w:id="474761561">
                      <w:marLeft w:val="0"/>
                      <w:marRight w:val="0"/>
                      <w:marTop w:val="0"/>
                      <w:marBottom w:val="0"/>
                      <w:divBdr>
                        <w:top w:val="none" w:sz="0" w:space="0" w:color="auto"/>
                        <w:left w:val="none" w:sz="0" w:space="0" w:color="auto"/>
                        <w:bottom w:val="none" w:sz="0" w:space="0" w:color="auto"/>
                        <w:right w:val="none" w:sz="0" w:space="0" w:color="auto"/>
                      </w:divBdr>
                      <w:divsChild>
                        <w:div w:id="407728847">
                          <w:marLeft w:val="-225"/>
                          <w:marRight w:val="-225"/>
                          <w:marTop w:val="0"/>
                          <w:marBottom w:val="0"/>
                          <w:divBdr>
                            <w:top w:val="none" w:sz="0" w:space="0" w:color="auto"/>
                            <w:left w:val="none" w:sz="0" w:space="0" w:color="auto"/>
                            <w:bottom w:val="none" w:sz="0" w:space="0" w:color="auto"/>
                            <w:right w:val="none" w:sz="0" w:space="0" w:color="auto"/>
                          </w:divBdr>
                          <w:divsChild>
                            <w:div w:id="829365184">
                              <w:marLeft w:val="0"/>
                              <w:marRight w:val="0"/>
                              <w:marTop w:val="0"/>
                              <w:marBottom w:val="0"/>
                              <w:divBdr>
                                <w:top w:val="none" w:sz="0" w:space="0" w:color="auto"/>
                                <w:left w:val="none" w:sz="0" w:space="0" w:color="auto"/>
                                <w:bottom w:val="none" w:sz="0" w:space="0" w:color="auto"/>
                                <w:right w:val="none" w:sz="0" w:space="0" w:color="auto"/>
                              </w:divBdr>
                              <w:divsChild>
                                <w:div w:id="2009938105">
                                  <w:marLeft w:val="0"/>
                                  <w:marRight w:val="0"/>
                                  <w:marTop w:val="0"/>
                                  <w:marBottom w:val="0"/>
                                  <w:divBdr>
                                    <w:top w:val="none" w:sz="0" w:space="0" w:color="auto"/>
                                    <w:left w:val="none" w:sz="0" w:space="0" w:color="auto"/>
                                    <w:bottom w:val="none" w:sz="0" w:space="0" w:color="auto"/>
                                    <w:right w:val="none" w:sz="0" w:space="0" w:color="auto"/>
                                  </w:divBdr>
                                  <w:divsChild>
                                    <w:div w:id="1115516094">
                                      <w:marLeft w:val="0"/>
                                      <w:marRight w:val="0"/>
                                      <w:marTop w:val="0"/>
                                      <w:marBottom w:val="0"/>
                                      <w:divBdr>
                                        <w:top w:val="none" w:sz="0" w:space="0" w:color="auto"/>
                                        <w:left w:val="none" w:sz="0" w:space="0" w:color="auto"/>
                                        <w:bottom w:val="none" w:sz="0" w:space="0" w:color="auto"/>
                                        <w:right w:val="none" w:sz="0" w:space="0" w:color="auto"/>
                                      </w:divBdr>
                                    </w:div>
                                    <w:div w:id="17981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nu.edu.cn/_upload/article/files/49/7c/755a8e404a2085792658c7be8ca1/b4181638-bc51-497f-8ea1-b87ab352c419.pdf" TargetMode="External"/><Relationship Id="rId5" Type="http://schemas.openxmlformats.org/officeDocument/2006/relationships/image" Target="media/image1.gif"/><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狄红卫</dc:creator>
  <cp:keywords/>
  <dc:description/>
  <cp:lastModifiedBy>狄红卫</cp:lastModifiedBy>
  <cp:revision>1</cp:revision>
  <dcterms:created xsi:type="dcterms:W3CDTF">2022-03-02T00:57:00Z</dcterms:created>
  <dcterms:modified xsi:type="dcterms:W3CDTF">2022-03-02T00:58:00Z</dcterms:modified>
</cp:coreProperties>
</file>