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39D90">
      <w:pPr>
        <w:pStyle w:val="2"/>
        <w:widowControl/>
        <w:spacing w:before="150" w:after="450" w:line="600" w:lineRule="atLeast"/>
        <w:jc w:val="center"/>
        <w:rPr>
          <w:color w:val="000000"/>
          <w:sz w:val="36"/>
          <w:szCs w:val="36"/>
        </w:rPr>
      </w:pPr>
      <w:r>
        <w:rPr>
          <w:color w:val="000000"/>
          <w:sz w:val="36"/>
          <w:szCs w:val="36"/>
        </w:rPr>
        <w:t>202</w:t>
      </w:r>
      <w:r>
        <w:rPr>
          <w:rFonts w:hint="eastAsia"/>
          <w:color w:val="000000"/>
          <w:sz w:val="36"/>
          <w:szCs w:val="36"/>
          <w:lang w:val="en-US" w:eastAsia="zh-CN"/>
        </w:rPr>
        <w:t>6</w:t>
      </w:r>
      <w:r>
        <w:rPr>
          <w:color w:val="000000"/>
          <w:sz w:val="36"/>
          <w:szCs w:val="36"/>
        </w:rPr>
        <w:t>年暨南大学法学院/知识产权学院高级研修课程报读说明</w:t>
      </w:r>
    </w:p>
    <w:p w14:paraId="1A363640">
      <w:pPr>
        <w:pStyle w:val="3"/>
        <w:widowControl/>
        <w:spacing w:line="368" w:lineRule="atLeast"/>
        <w:ind w:firstLine="420" w:firstLineChars="175"/>
        <w:rPr>
          <w:rFonts w:ascii="Helvetica" w:hAnsi="Helvetica" w:eastAsia="Helvetica" w:cs="Helvetica"/>
          <w:b/>
          <w:bCs/>
          <w:color w:val="000000"/>
        </w:rPr>
      </w:pPr>
      <w:r>
        <w:rPr>
          <w:rFonts w:ascii="Helvetica" w:hAnsi="Helvetica" w:eastAsia="Helvetica" w:cs="Helvetica"/>
          <w:b/>
          <w:bCs/>
          <w:color w:val="000000"/>
        </w:rPr>
        <w:t>【学院简介】</w:t>
      </w:r>
    </w:p>
    <w:p w14:paraId="12914310">
      <w:pPr>
        <w:pStyle w:val="3"/>
        <w:widowControl/>
        <w:spacing w:line="368" w:lineRule="atLeast"/>
        <w:ind w:firstLine="420" w:firstLineChars="175"/>
        <w:jc w:val="both"/>
        <w:rPr>
          <w:rFonts w:hint="eastAsia" w:cs="宋体" w:asciiTheme="minorEastAsia" w:hAnsiTheme="minorEastAsia" w:eastAsiaTheme="minorEastAsia"/>
          <w:color w:val="000000"/>
        </w:rPr>
      </w:pPr>
      <w:r>
        <w:rPr>
          <w:rFonts w:cs="Helvetica" w:asciiTheme="minorEastAsia" w:hAnsiTheme="minorEastAsia" w:eastAsiaTheme="minorEastAsia"/>
          <w:color w:val="000000"/>
        </w:rPr>
        <w:t>暨南法学学科始创于1927年，是中国最早设立的法学院校之一，与北大、东吴、朝阳等法学院齐名。1987年在广州复办，200</w:t>
      </w:r>
      <w:r>
        <w:rPr>
          <w:rFonts w:hint="eastAsia" w:cs="Helvetica" w:asciiTheme="minorEastAsia" w:hAnsiTheme="minorEastAsia" w:eastAsiaTheme="minorEastAsia"/>
          <w:color w:val="000000"/>
        </w:rPr>
        <w:t>1</w:t>
      </w:r>
      <w:r>
        <w:rPr>
          <w:rFonts w:cs="Helvetica" w:asciiTheme="minorEastAsia" w:hAnsiTheme="minorEastAsia" w:eastAsiaTheme="minorEastAsia"/>
          <w:color w:val="000000"/>
        </w:rPr>
        <w:t>年复设法学院。</w:t>
      </w:r>
      <w:r>
        <w:rPr>
          <w:rFonts w:hint="eastAsia" w:cs="宋体" w:asciiTheme="minorEastAsia" w:hAnsiTheme="minorEastAsia" w:eastAsiaTheme="minorEastAsia"/>
          <w:color w:val="000000"/>
        </w:rPr>
        <w:t>现有包含法学和知识产权2个国家一流本科专业、法学一级学科硕士学位授权点、法律硕士专业学位授权点、法学一级学科博士学位授权点的完整的法学人才培养体系，2023年获批法学一级学科博士后流动站和教育部涉外法治人才协同培养创新基地（培育），在学科建设、人才培养、教学科研、社会服务等方面成效显著。</w:t>
      </w:r>
    </w:p>
    <w:p w14:paraId="3E279675">
      <w:pPr>
        <w:pStyle w:val="3"/>
        <w:widowControl/>
        <w:spacing w:line="368" w:lineRule="atLeast"/>
        <w:ind w:firstLine="420" w:firstLineChars="175"/>
      </w:pPr>
      <w:r>
        <w:rPr>
          <w:rFonts w:hint="eastAsia" w:cs="Helvetica" w:asciiTheme="minorEastAsia" w:hAnsiTheme="minorEastAsia" w:eastAsiaTheme="minorEastAsia"/>
          <w:color w:val="000000"/>
        </w:rPr>
        <w:t xml:space="preserve"> 学院现有一国两制与基本法研究院、涉外法治研究院、粤港澳大湾区竞争与发展研究院等20多个研究机构，是全国首批“卓越法律人才教育培养基地”“国家大学生校外实践教育基地”和广州知识产权人才培养基地等国家级人才培养培训基地，还拥有“暨南大学知识产权与法治研究中心”“暨南大学党内法规研究中心”等2个广东省普通高校人文社科重点研究基地，目前国家级和省部级在研课题100余项。学院师资力量雄厚，现有专任教师70余人，有教育部长江学者特聘教授、知识产权国家级领军人才、教育部新世纪优秀人才、广东省“千百十”省级培养对象、广东省教学名师等各类高层次人才以及民商法、经济法两个省级教学团队，是华南地区有重要影响、全国知名的法学院系之一，也是我国港澳台侨卓越法治人才教育培养的领航者。</w:t>
      </w:r>
    </w:p>
    <w:p w14:paraId="18CD8CBA">
      <w:pPr>
        <w:pStyle w:val="3"/>
        <w:widowControl/>
        <w:spacing w:line="368" w:lineRule="atLeast"/>
        <w:ind w:firstLine="420"/>
      </w:pPr>
      <w:r>
        <w:rPr>
          <w:rFonts w:ascii="Helvetica" w:hAnsi="Helvetica" w:eastAsia="Helvetica" w:cs="Helvetica"/>
          <w:color w:val="000000"/>
        </w:rPr>
        <w:t>  </w:t>
      </w:r>
    </w:p>
    <w:p w14:paraId="3F35281F">
      <w:pPr>
        <w:pStyle w:val="3"/>
        <w:widowControl/>
        <w:spacing w:line="368" w:lineRule="atLeast"/>
        <w:ind w:firstLine="420"/>
      </w:pPr>
      <w:r>
        <w:rPr>
          <w:rFonts w:ascii="Helvetica" w:hAnsi="Helvetica" w:eastAsia="Helvetica" w:cs="Helvetica"/>
          <w:b/>
          <w:bCs/>
          <w:color w:val="000000"/>
        </w:rPr>
        <w:t xml:space="preserve">【招生对象】 </w:t>
      </w:r>
      <w:r>
        <w:rPr>
          <w:rFonts w:hint="eastAsia" w:ascii="Helvetica" w:hAnsi="Helvetica" w:eastAsia="Helvetica" w:cs="Helvetica"/>
          <w:color w:val="000000"/>
        </w:rPr>
        <w:t>申请人应为中华人民共和国公民；拥护中国共产党的领导，品德良好，遵纪守法；自觉遵守暨南大学各项规章制度；身心健康状况符合国家和我校相关要求。一般应有大学本科学历，免试入学。</w:t>
      </w:r>
    </w:p>
    <w:p w14:paraId="487D4EE0">
      <w:pPr>
        <w:pStyle w:val="3"/>
        <w:widowControl/>
        <w:spacing w:line="368" w:lineRule="atLeast"/>
        <w:ind w:firstLine="420"/>
      </w:pPr>
      <w:r>
        <w:rPr>
          <w:rFonts w:ascii="Helvetica" w:hAnsi="Helvetica" w:eastAsia="Helvetica" w:cs="Helvetica"/>
          <w:color w:val="000000"/>
        </w:rPr>
        <w:t>  </w:t>
      </w:r>
    </w:p>
    <w:p w14:paraId="0C95DE16">
      <w:pPr>
        <w:pStyle w:val="3"/>
        <w:widowControl/>
        <w:spacing w:line="368" w:lineRule="atLeast"/>
        <w:ind w:firstLine="420"/>
      </w:pPr>
      <w:r>
        <w:rPr>
          <w:rFonts w:ascii="Helvetica" w:hAnsi="Helvetica" w:eastAsia="Helvetica" w:cs="Helvetica"/>
          <w:b/>
          <w:bCs/>
          <w:color w:val="000000"/>
        </w:rPr>
        <w:t>【修读专业】</w:t>
      </w:r>
      <w:r>
        <w:rPr>
          <w:rFonts w:ascii="Helvetica" w:hAnsi="Helvetica" w:eastAsia="Helvetica" w:cs="Helvetica"/>
          <w:color w:val="000000"/>
        </w:rPr>
        <w:t>民商法学、知识产权法学</w:t>
      </w:r>
    </w:p>
    <w:p w14:paraId="111539DC">
      <w:pPr>
        <w:pStyle w:val="3"/>
        <w:widowControl/>
        <w:spacing w:line="368" w:lineRule="atLeast"/>
        <w:ind w:firstLine="420"/>
      </w:pPr>
      <w:r>
        <w:rPr>
          <w:rFonts w:ascii="Helvetica" w:hAnsi="Helvetica" w:eastAsia="Helvetica" w:cs="Helvetica"/>
          <w:color w:val="000000"/>
        </w:rPr>
        <w:t>  </w:t>
      </w:r>
    </w:p>
    <w:p w14:paraId="5A9601C7">
      <w:pPr>
        <w:pStyle w:val="3"/>
        <w:widowControl/>
        <w:spacing w:line="368" w:lineRule="atLeast"/>
        <w:ind w:firstLine="420"/>
        <w:rPr>
          <w:rFonts w:ascii="Helvetica" w:hAnsi="Helvetica" w:eastAsia="Helvetica" w:cs="Helvetica"/>
          <w:b/>
          <w:bCs/>
          <w:color w:val="000000"/>
        </w:rPr>
      </w:pPr>
      <w:r>
        <w:rPr>
          <w:rFonts w:ascii="Helvetica" w:hAnsi="Helvetica" w:eastAsia="Helvetica" w:cs="Helvetica"/>
          <w:b/>
          <w:bCs/>
          <w:color w:val="000000"/>
        </w:rPr>
        <w:t>【修读课程】</w:t>
      </w:r>
    </w:p>
    <w:p w14:paraId="46E709EE">
      <w:pPr>
        <w:pStyle w:val="3"/>
        <w:widowControl/>
        <w:spacing w:line="368" w:lineRule="atLeast"/>
        <w:ind w:firstLine="420"/>
        <w:rPr>
          <w:rFonts w:ascii="Helvetica" w:hAnsi="Helvetica" w:cs="Helvetica"/>
          <w:color w:val="auto"/>
        </w:rPr>
      </w:pPr>
      <w:r>
        <w:rPr>
          <w:rFonts w:hint="eastAsia" w:ascii="Helvetica" w:hAnsi="Helvetica" w:cs="Helvetica"/>
          <w:color w:val="auto"/>
        </w:rPr>
        <w:t>民商法学：</w:t>
      </w:r>
      <w:r>
        <w:rPr>
          <w:rFonts w:hint="eastAsia" w:ascii="Helvetica" w:hAnsi="Helvetica" w:cs="Helvetica"/>
          <w:color w:val="auto"/>
          <w:lang w:val="en-US" w:eastAsia="zh-CN"/>
        </w:rPr>
        <w:t>学术英语</w:t>
      </w:r>
      <w:r>
        <w:rPr>
          <w:rFonts w:ascii="Helvetica" w:hAnsi="Helvetica" w:eastAsia="Helvetica" w:cs="Helvetica"/>
          <w:color w:val="auto"/>
        </w:rPr>
        <w:t>、</w:t>
      </w:r>
      <w:r>
        <w:rPr>
          <w:rFonts w:hint="eastAsia" w:ascii="Helvetica" w:hAnsi="Helvetica" w:eastAsia="Helvetica" w:cs="Helvetica"/>
          <w:color w:val="auto"/>
        </w:rPr>
        <w:t>新时代中国特色社会主义理论与实践、马克思主义与社会科学方法论、</w:t>
      </w:r>
      <w:r>
        <w:rPr>
          <w:rFonts w:hint="eastAsia" w:ascii="Helvetica" w:hAnsi="Helvetica" w:cs="Helvetica"/>
          <w:color w:val="auto"/>
        </w:rPr>
        <w:t>法理学</w:t>
      </w:r>
      <w:r>
        <w:rPr>
          <w:rFonts w:ascii="Helvetica" w:hAnsi="Helvetica" w:eastAsia="Helvetica" w:cs="Helvetica"/>
          <w:color w:val="auto"/>
        </w:rPr>
        <w:t>、</w:t>
      </w:r>
      <w:r>
        <w:rPr>
          <w:rFonts w:hint="eastAsia" w:ascii="Helvetica" w:hAnsi="Helvetica" w:cs="Helvetica"/>
          <w:color w:val="auto"/>
        </w:rPr>
        <w:t>宪法学</w:t>
      </w:r>
      <w:r>
        <w:rPr>
          <w:rFonts w:ascii="Helvetica" w:hAnsi="Helvetica" w:eastAsia="Helvetica" w:cs="Helvetica"/>
          <w:color w:val="auto"/>
        </w:rPr>
        <w:t>、</w:t>
      </w:r>
      <w:r>
        <w:rPr>
          <w:rFonts w:hint="eastAsia" w:ascii="Helvetica" w:hAnsi="Helvetica" w:cs="Helvetica"/>
          <w:color w:val="auto"/>
        </w:rPr>
        <w:t>民法学、刑法学、</w:t>
      </w:r>
      <w:r>
        <w:rPr>
          <w:rFonts w:hint="eastAsia" w:ascii="Helvetica" w:hAnsi="Helvetica" w:cs="Helvetica"/>
          <w:color w:val="auto"/>
          <w:lang w:val="en-US" w:eastAsia="zh-CN"/>
        </w:rPr>
        <w:t>中国法制史专题、</w:t>
      </w:r>
      <w:r>
        <w:rPr>
          <w:rFonts w:hint="eastAsia" w:ascii="Helvetica" w:hAnsi="Helvetica" w:cs="Helvetica"/>
          <w:color w:val="auto"/>
        </w:rPr>
        <w:t>公司法与证券法、民事诉讼与仲裁专题、债与合同专题</w:t>
      </w:r>
      <w:r>
        <w:rPr>
          <w:rFonts w:hint="eastAsia" w:ascii="Helvetica" w:hAnsi="Helvetica" w:cs="Helvetica"/>
          <w:color w:val="auto"/>
          <w:lang w:eastAsia="zh-CN"/>
        </w:rPr>
        <w:t>、</w:t>
      </w:r>
      <w:r>
        <w:rPr>
          <w:rFonts w:hint="eastAsia" w:ascii="Helvetica" w:hAnsi="Helvetica" w:cs="Helvetica"/>
          <w:color w:val="auto"/>
          <w:lang w:val="en-US" w:eastAsia="zh-CN"/>
        </w:rPr>
        <w:t>物权法专题</w:t>
      </w:r>
      <w:r>
        <w:rPr>
          <w:rFonts w:hint="eastAsia" w:ascii="Helvetica" w:hAnsi="Helvetica" w:cs="Helvetica"/>
          <w:color w:val="auto"/>
        </w:rPr>
        <w:t>等。</w:t>
      </w:r>
    </w:p>
    <w:p w14:paraId="1A1C38D6">
      <w:pPr>
        <w:pStyle w:val="3"/>
        <w:widowControl/>
        <w:spacing w:line="368" w:lineRule="atLeast"/>
        <w:ind w:firstLine="420"/>
        <w:rPr>
          <w:rFonts w:hint="eastAsia" w:ascii="Helvetica" w:hAnsi="Helvetica" w:cs="Helvetica"/>
          <w:color w:val="auto"/>
        </w:rPr>
      </w:pPr>
      <w:r>
        <w:rPr>
          <w:rFonts w:hint="eastAsia" w:ascii="Helvetica" w:hAnsi="Helvetica" w:cs="Helvetica"/>
          <w:color w:val="auto"/>
        </w:rPr>
        <w:t>知识产权法学：</w:t>
      </w:r>
      <w:r>
        <w:rPr>
          <w:rFonts w:hint="eastAsia" w:ascii="Helvetica" w:hAnsi="Helvetica" w:cs="Helvetica"/>
          <w:color w:val="auto"/>
          <w:lang w:val="en-US" w:eastAsia="zh-CN"/>
        </w:rPr>
        <w:t>学术英语</w:t>
      </w:r>
      <w:r>
        <w:rPr>
          <w:rFonts w:ascii="Helvetica" w:hAnsi="Helvetica" w:eastAsia="Helvetica" w:cs="Helvetica"/>
          <w:color w:val="auto"/>
        </w:rPr>
        <w:t>、</w:t>
      </w:r>
      <w:r>
        <w:rPr>
          <w:rFonts w:hint="eastAsia" w:ascii="Helvetica" w:hAnsi="Helvetica" w:eastAsia="Helvetica" w:cs="Helvetica"/>
          <w:color w:val="auto"/>
        </w:rPr>
        <w:t>新时代中国特色社会主义理论与实践、马克思主义与社会科学方法论、</w:t>
      </w:r>
      <w:r>
        <w:rPr>
          <w:rFonts w:hint="eastAsia" w:ascii="Helvetica" w:hAnsi="Helvetica" w:cs="Helvetica"/>
          <w:color w:val="auto"/>
        </w:rPr>
        <w:t>法理学</w:t>
      </w:r>
      <w:r>
        <w:rPr>
          <w:rFonts w:ascii="Helvetica" w:hAnsi="Helvetica" w:eastAsia="Helvetica" w:cs="Helvetica"/>
          <w:color w:val="auto"/>
        </w:rPr>
        <w:t>、</w:t>
      </w:r>
      <w:r>
        <w:rPr>
          <w:rFonts w:hint="eastAsia" w:ascii="Helvetica" w:hAnsi="Helvetica" w:cs="Helvetica"/>
          <w:color w:val="auto"/>
        </w:rPr>
        <w:t>宪法学</w:t>
      </w:r>
      <w:r>
        <w:rPr>
          <w:rFonts w:ascii="Helvetica" w:hAnsi="Helvetica" w:eastAsia="Helvetica" w:cs="Helvetica"/>
          <w:color w:val="auto"/>
        </w:rPr>
        <w:t>、</w:t>
      </w:r>
      <w:r>
        <w:rPr>
          <w:rFonts w:hint="eastAsia" w:ascii="Helvetica" w:hAnsi="Helvetica" w:cs="Helvetica"/>
          <w:color w:val="auto"/>
        </w:rPr>
        <w:t>民法学、刑法学、</w:t>
      </w:r>
      <w:r>
        <w:rPr>
          <w:rFonts w:hint="eastAsia" w:ascii="Helvetica" w:hAnsi="Helvetica" w:cs="Helvetica"/>
          <w:color w:val="auto"/>
          <w:lang w:val="en-US" w:eastAsia="zh-CN"/>
        </w:rPr>
        <w:t>中国法制史专题、</w:t>
      </w:r>
      <w:r>
        <w:rPr>
          <w:rFonts w:hint="eastAsia" w:ascii="Helvetica" w:hAnsi="Helvetica" w:cs="Helvetica"/>
          <w:color w:val="auto"/>
        </w:rPr>
        <w:t>知识产权</w:t>
      </w:r>
      <w:r>
        <w:rPr>
          <w:rFonts w:hint="eastAsia" w:ascii="Helvetica" w:hAnsi="Helvetica" w:cs="Helvetica"/>
          <w:color w:val="auto"/>
          <w:lang w:eastAsia="zh-CN"/>
        </w:rPr>
        <w:t>基础理论</w:t>
      </w:r>
      <w:r>
        <w:rPr>
          <w:rFonts w:hint="eastAsia" w:ascii="Helvetica" w:hAnsi="Helvetica" w:cs="Helvetica"/>
          <w:color w:val="auto"/>
        </w:rPr>
        <w:t>、</w:t>
      </w:r>
      <w:r>
        <w:rPr>
          <w:rFonts w:ascii="Helvetica" w:hAnsi="Helvetica" w:eastAsia="Helvetica" w:cs="Helvetica"/>
          <w:color w:val="auto"/>
        </w:rPr>
        <w:t>商标法专题</w:t>
      </w:r>
      <w:r>
        <w:rPr>
          <w:rFonts w:hint="eastAsia" w:ascii="Helvetica" w:hAnsi="Helvetica" w:cs="Helvetica"/>
          <w:color w:val="auto"/>
        </w:rPr>
        <w:t>、著作权法专题、专利法专题</w:t>
      </w:r>
      <w:r>
        <w:rPr>
          <w:rFonts w:hint="eastAsia" w:ascii="Helvetica" w:hAnsi="Helvetica" w:cs="Helvetica"/>
          <w:color w:val="auto"/>
          <w:lang w:eastAsia="zh-CN"/>
        </w:rPr>
        <w:t>、国际知识产权法、地理标志法律制度</w:t>
      </w:r>
      <w:r>
        <w:rPr>
          <w:rFonts w:hint="eastAsia" w:ascii="Helvetica" w:hAnsi="Helvetica" w:cs="Helvetica"/>
          <w:color w:val="auto"/>
        </w:rPr>
        <w:t>等。</w:t>
      </w:r>
    </w:p>
    <w:p w14:paraId="2254667B">
      <w:pPr>
        <w:pStyle w:val="3"/>
        <w:widowControl/>
        <w:spacing w:line="368" w:lineRule="atLeast"/>
        <w:ind w:firstLine="420"/>
        <w:rPr>
          <w:rFonts w:hint="default" w:ascii="Helvetica" w:hAnsi="Helvetica" w:eastAsia="宋体" w:cs="Helvetica"/>
          <w:color w:val="auto"/>
          <w:lang w:val="en-US" w:eastAsia="zh-CN"/>
        </w:rPr>
      </w:pPr>
      <w:r>
        <w:rPr>
          <w:rFonts w:hint="eastAsia" w:ascii="Helvetica" w:hAnsi="Helvetica" w:cs="Helvetica"/>
          <w:color w:val="auto"/>
          <w:lang w:val="en-US" w:eastAsia="zh-CN"/>
        </w:rPr>
        <w:t>课程开设以实际课程安排为准。</w:t>
      </w:r>
    </w:p>
    <w:p w14:paraId="726EE068">
      <w:pPr>
        <w:pStyle w:val="3"/>
        <w:widowControl/>
        <w:spacing w:line="368" w:lineRule="atLeast"/>
        <w:ind w:firstLine="420"/>
      </w:pPr>
      <w:r>
        <w:rPr>
          <w:rFonts w:ascii="Helvetica" w:hAnsi="Helvetica" w:eastAsia="Helvetica" w:cs="Helvetica"/>
          <w:color w:val="000000"/>
        </w:rPr>
        <w:t>  </w:t>
      </w:r>
    </w:p>
    <w:p w14:paraId="5FA5CCFA">
      <w:pPr>
        <w:pStyle w:val="3"/>
        <w:widowControl/>
        <w:spacing w:line="368" w:lineRule="atLeast"/>
        <w:ind w:firstLine="420"/>
        <w:rPr>
          <w:rFonts w:ascii="Helvetica" w:hAnsi="Helvetica" w:cs="Helvetica"/>
          <w:b/>
          <w:bCs/>
          <w:color w:val="000000"/>
        </w:rPr>
      </w:pPr>
      <w:r>
        <w:rPr>
          <w:rFonts w:ascii="Helvetica" w:hAnsi="Helvetica" w:eastAsia="Helvetica" w:cs="Helvetica"/>
          <w:b/>
          <w:bCs/>
          <w:color w:val="000000"/>
        </w:rPr>
        <w:t>【师资及教学计划】</w:t>
      </w:r>
    </w:p>
    <w:p w14:paraId="5051A37F">
      <w:pPr>
        <w:pStyle w:val="3"/>
        <w:widowControl/>
        <w:numPr>
          <w:ilvl w:val="0"/>
          <w:numId w:val="1"/>
        </w:numPr>
        <w:spacing w:line="368" w:lineRule="atLeast"/>
        <w:ind w:left="486" w:leftChars="0" w:firstLine="0" w:firstLineChars="0"/>
        <w:rPr>
          <w:rFonts w:hint="eastAsia" w:ascii="Helvetica" w:hAnsi="Helvetica" w:eastAsia="Helvetica" w:cs="Helvetica"/>
          <w:color w:val="000000"/>
        </w:rPr>
      </w:pPr>
      <w:r>
        <w:rPr>
          <w:rFonts w:hint="eastAsia" w:ascii="Helvetica" w:hAnsi="Helvetica" w:eastAsia="Helvetica" w:cs="Helvetica"/>
          <w:color w:val="000000"/>
        </w:rPr>
        <w:t> 授课师资包括学术造诣高超和实务经验丰富的资深教授、知名博导、海外留学背景优秀教师等，同时聘请校内外著名法学专家、实务部门导师做专题讲座；</w:t>
      </w:r>
    </w:p>
    <w:p w14:paraId="1D76519B">
      <w:pPr>
        <w:pStyle w:val="3"/>
        <w:widowControl/>
        <w:numPr>
          <w:ilvl w:val="0"/>
          <w:numId w:val="1"/>
        </w:numPr>
        <w:spacing w:line="368" w:lineRule="atLeast"/>
        <w:ind w:left="486" w:leftChars="0" w:firstLine="0" w:firstLineChars="0"/>
        <w:rPr>
          <w:rFonts w:ascii="Helvetica" w:hAnsi="Helvetica" w:eastAsia="Helvetica" w:cs="Helvetica"/>
          <w:color w:val="000000"/>
        </w:rPr>
      </w:pPr>
      <w:r>
        <w:rPr>
          <w:rFonts w:hint="eastAsia" w:ascii="Helvetica" w:hAnsi="Helvetica" w:eastAsia="Helvetica" w:cs="Helvetica"/>
          <w:color w:val="000000"/>
        </w:rPr>
        <w:t>高级研修课程采用非脱产学习方式，周六、周日上课，课程学习时间为两年（202</w:t>
      </w:r>
      <w:r>
        <w:rPr>
          <w:rFonts w:hint="eastAsia" w:ascii="Helvetica" w:hAnsi="Helvetica" w:cs="Helvetica"/>
          <w:color w:val="000000"/>
          <w:lang w:val="en-US" w:eastAsia="zh-CN"/>
        </w:rPr>
        <w:t>6</w:t>
      </w:r>
      <w:r>
        <w:rPr>
          <w:rFonts w:hint="eastAsia" w:ascii="Helvetica" w:hAnsi="Helvetica" w:eastAsia="Helvetica" w:cs="Helvetica"/>
          <w:color w:val="000000"/>
        </w:rPr>
        <w:t>年9月至202</w:t>
      </w:r>
      <w:r>
        <w:rPr>
          <w:rFonts w:hint="eastAsia" w:ascii="Helvetica" w:hAnsi="Helvetica" w:cs="Helvetica"/>
          <w:color w:val="000000"/>
          <w:lang w:val="en-US" w:eastAsia="zh-CN"/>
        </w:rPr>
        <w:t>8</w:t>
      </w:r>
      <w:r>
        <w:rPr>
          <w:rFonts w:hint="eastAsia" w:ascii="Helvetica" w:hAnsi="Helvetica" w:eastAsia="Helvetica" w:cs="Helvetica"/>
          <w:color w:val="000000"/>
        </w:rPr>
        <w:t>年7月），最长不超过5年；</w:t>
      </w:r>
    </w:p>
    <w:p w14:paraId="5F278017">
      <w:pPr>
        <w:pStyle w:val="3"/>
        <w:widowControl/>
        <w:numPr>
          <w:ilvl w:val="0"/>
          <w:numId w:val="1"/>
        </w:numPr>
        <w:spacing w:line="368" w:lineRule="atLeast"/>
        <w:ind w:left="486" w:leftChars="0" w:firstLine="0" w:firstLineChars="0"/>
        <w:rPr>
          <w:rFonts w:ascii="Helvetica" w:hAnsi="Helvetica" w:eastAsia="Helvetica" w:cs="Helvetica"/>
          <w:color w:val="000000"/>
        </w:rPr>
      </w:pPr>
      <w:r>
        <w:rPr>
          <w:rFonts w:hint="eastAsia" w:ascii="Helvetica" w:hAnsi="Helvetica" w:eastAsia="Helvetica" w:cs="Helvetica"/>
          <w:color w:val="000000"/>
        </w:rPr>
        <w:t>引进弹性教学体制，采取学分制，修满学分且成绩合格，准予结业。</w:t>
      </w:r>
    </w:p>
    <w:p w14:paraId="5546386C">
      <w:pPr>
        <w:pStyle w:val="3"/>
        <w:widowControl/>
        <w:spacing w:line="368" w:lineRule="atLeast"/>
        <w:ind w:firstLine="420"/>
      </w:pPr>
      <w:r>
        <w:rPr>
          <w:rFonts w:ascii="Helvetica" w:hAnsi="Helvetica" w:eastAsia="Helvetica" w:cs="Helvetica"/>
          <w:color w:val="000000"/>
        </w:rPr>
        <w:t>  </w:t>
      </w:r>
    </w:p>
    <w:p w14:paraId="6F41E52B">
      <w:pPr>
        <w:pStyle w:val="3"/>
        <w:widowControl/>
        <w:spacing w:line="368" w:lineRule="atLeast"/>
        <w:ind w:firstLine="420"/>
        <w:rPr>
          <w:rFonts w:ascii="Helvetica" w:hAnsi="Helvetica" w:eastAsia="Helvetica" w:cs="Helvetica"/>
          <w:b/>
          <w:bCs/>
          <w:color w:val="000000"/>
        </w:rPr>
      </w:pPr>
      <w:r>
        <w:rPr>
          <w:rFonts w:ascii="Helvetica" w:hAnsi="Helvetica" w:eastAsia="Helvetica" w:cs="Helvetica"/>
          <w:b/>
          <w:bCs/>
          <w:color w:val="000000"/>
        </w:rPr>
        <w:t>【研修课程证书】</w:t>
      </w:r>
    </w:p>
    <w:p w14:paraId="5C56A682">
      <w:pPr>
        <w:pStyle w:val="3"/>
        <w:widowControl/>
        <w:spacing w:line="368" w:lineRule="atLeast"/>
        <w:ind w:firstLine="420"/>
        <w:rPr>
          <w:rFonts w:hint="eastAsia" w:ascii="Helvetica" w:hAnsi="Helvetica" w:eastAsia="Helvetica" w:cs="Helvetica"/>
          <w:color w:val="000000"/>
        </w:rPr>
      </w:pPr>
      <w:r>
        <w:rPr>
          <w:rFonts w:hint="eastAsia" w:ascii="Helvetica" w:hAnsi="Helvetica" w:eastAsia="Helvetica" w:cs="Helvetica"/>
          <w:color w:val="000000"/>
        </w:rPr>
        <w:t>1. 修读全部课程且合格者，可获《暨南大学高级研修课程结业证书》；</w:t>
      </w:r>
    </w:p>
    <w:p w14:paraId="27DB09C6">
      <w:pPr>
        <w:pStyle w:val="3"/>
        <w:widowControl/>
        <w:spacing w:line="368" w:lineRule="atLeast"/>
        <w:ind w:firstLine="420"/>
        <w:rPr>
          <w:rFonts w:ascii="Helvetica" w:hAnsi="Helvetica" w:eastAsia="Helvetica" w:cs="Helvetica"/>
          <w:color w:val="000000"/>
        </w:rPr>
      </w:pPr>
      <w:r>
        <w:rPr>
          <w:rFonts w:hint="eastAsia" w:ascii="Helvetica" w:hAnsi="Helvetica" w:eastAsia="Helvetica" w:cs="Helvetica"/>
          <w:color w:val="000000"/>
        </w:rPr>
        <w:t>2. 选修部分课程合格者，可获《暨南大学高级研修课程修读证明》。</w:t>
      </w:r>
      <w:r>
        <w:rPr>
          <w:rFonts w:ascii="Helvetica" w:hAnsi="Helvetica" w:eastAsia="Helvetica" w:cs="Helvetica"/>
          <w:color w:val="000000"/>
        </w:rPr>
        <w:t> </w:t>
      </w:r>
    </w:p>
    <w:p w14:paraId="0E82C37A">
      <w:pPr>
        <w:pStyle w:val="3"/>
        <w:widowControl/>
        <w:spacing w:line="368" w:lineRule="atLeast"/>
        <w:ind w:firstLine="420"/>
        <w:rPr>
          <w:rFonts w:ascii="Helvetica" w:hAnsi="Helvetica" w:eastAsia="Helvetica" w:cs="Helvetica"/>
          <w:color w:val="000000"/>
        </w:rPr>
      </w:pPr>
    </w:p>
    <w:p w14:paraId="68F81CAF">
      <w:pPr>
        <w:pStyle w:val="3"/>
        <w:widowControl/>
        <w:spacing w:line="368" w:lineRule="atLeast"/>
        <w:ind w:firstLine="420"/>
        <w:rPr>
          <w:rFonts w:ascii="Helvetica" w:hAnsi="Helvetica" w:cs="Helvetica"/>
          <w:b/>
          <w:bCs/>
          <w:color w:val="000000"/>
        </w:rPr>
      </w:pPr>
      <w:r>
        <w:rPr>
          <w:rFonts w:ascii="Helvetica" w:hAnsi="Helvetica" w:eastAsia="Helvetica" w:cs="Helvetica"/>
          <w:b/>
          <w:bCs/>
          <w:color w:val="000000"/>
        </w:rPr>
        <w:t>【报名时间、办法】</w:t>
      </w:r>
    </w:p>
    <w:p w14:paraId="6AA0B21C">
      <w:pPr>
        <w:pStyle w:val="3"/>
        <w:widowControl/>
        <w:spacing w:line="368" w:lineRule="atLeast"/>
        <w:ind w:firstLine="420"/>
        <w:rPr>
          <w:rFonts w:hint="eastAsia" w:ascii="宋体" w:hAnsi="宋体" w:eastAsia="宋体" w:cs="宋体"/>
          <w:color w:val="000000"/>
        </w:rPr>
      </w:pPr>
      <w:r>
        <w:rPr>
          <w:rFonts w:ascii="Helvetica" w:hAnsi="Helvetica" w:eastAsia="Helvetica" w:cs="Helvetica"/>
          <w:color w:val="000000"/>
        </w:rPr>
        <w:t>  </w:t>
      </w:r>
      <w:r>
        <w:rPr>
          <w:rFonts w:hint="eastAsia" w:ascii="宋体" w:hAnsi="宋体" w:eastAsia="宋体" w:cs="宋体"/>
          <w:color w:val="000000"/>
        </w:rPr>
        <w:t xml:space="preserve"> 1</w:t>
      </w:r>
      <w:r>
        <w:rPr>
          <w:rFonts w:hint="eastAsia" w:ascii="宋体" w:hAnsi="宋体" w:cs="宋体"/>
          <w:color w:val="000000"/>
          <w:lang w:val="en-US" w:eastAsia="zh-CN"/>
        </w:rPr>
        <w:t>.</w:t>
      </w:r>
      <w:r>
        <w:rPr>
          <w:rFonts w:hint="eastAsia" w:ascii="宋体" w:hAnsi="宋体" w:eastAsia="宋体" w:cs="宋体"/>
          <w:color w:val="000000"/>
        </w:rPr>
        <w:t>报名时间：202</w:t>
      </w:r>
      <w:r>
        <w:rPr>
          <w:rFonts w:hint="eastAsia" w:ascii="宋体" w:hAnsi="宋体" w:cs="宋体"/>
          <w:color w:val="000000"/>
          <w:lang w:val="en-US" w:eastAsia="zh-CN"/>
        </w:rPr>
        <w:t>6</w:t>
      </w:r>
      <w:r>
        <w:rPr>
          <w:rFonts w:hint="eastAsia" w:ascii="宋体" w:hAnsi="宋体" w:eastAsia="宋体" w:cs="宋体"/>
          <w:color w:val="000000"/>
        </w:rPr>
        <w:t>年7月</w:t>
      </w:r>
      <w:r>
        <w:rPr>
          <w:rFonts w:hint="eastAsia" w:ascii="宋体" w:hAnsi="宋体" w:cs="宋体"/>
          <w:color w:val="000000"/>
          <w:lang w:val="en-US" w:eastAsia="zh-CN"/>
        </w:rPr>
        <w:t>20日</w:t>
      </w:r>
      <w:r>
        <w:rPr>
          <w:rFonts w:hint="eastAsia" w:ascii="宋体" w:hAnsi="宋体" w:eastAsia="宋体" w:cs="宋体"/>
          <w:color w:val="000000"/>
        </w:rPr>
        <w:t>—</w:t>
      </w:r>
      <w:r>
        <w:rPr>
          <w:rFonts w:hint="eastAsia" w:ascii="宋体" w:hAnsi="宋体" w:cs="宋体"/>
          <w:color w:val="000000"/>
          <w:lang w:val="en-US" w:eastAsia="zh-CN"/>
        </w:rPr>
        <w:t>9</w:t>
      </w:r>
      <w:r>
        <w:rPr>
          <w:rFonts w:hint="eastAsia" w:ascii="宋体" w:hAnsi="宋体" w:eastAsia="宋体" w:cs="宋体"/>
          <w:color w:val="000000"/>
        </w:rPr>
        <w:t>月</w:t>
      </w:r>
      <w:r>
        <w:rPr>
          <w:rFonts w:hint="eastAsia" w:ascii="宋体" w:hAnsi="宋体" w:cs="宋体"/>
          <w:color w:val="000000"/>
          <w:lang w:val="en-US" w:eastAsia="zh-CN"/>
        </w:rPr>
        <w:t>3日</w:t>
      </w:r>
      <w:r>
        <w:rPr>
          <w:rFonts w:hint="eastAsia" w:ascii="宋体" w:hAnsi="宋体" w:eastAsia="宋体" w:cs="宋体"/>
          <w:color w:val="000000"/>
        </w:rPr>
        <w:t>。</w:t>
      </w:r>
    </w:p>
    <w:p w14:paraId="3EB24309">
      <w:pPr>
        <w:pStyle w:val="3"/>
        <w:widowControl/>
        <w:spacing w:line="368" w:lineRule="atLeast"/>
        <w:ind w:firstLine="420"/>
        <w:rPr>
          <w:rFonts w:hint="eastAsia" w:ascii="宋体" w:hAnsi="宋体" w:eastAsia="宋体" w:cs="宋体"/>
          <w:b/>
          <w:bCs/>
          <w:color w:val="000000"/>
        </w:rPr>
      </w:pPr>
      <w:r>
        <w:rPr>
          <w:rFonts w:hint="eastAsia" w:ascii="宋体" w:hAnsi="宋体" w:eastAsia="宋体" w:cs="宋体"/>
          <w:color w:val="000000"/>
        </w:rPr>
        <w:t> 2</w:t>
      </w:r>
      <w:r>
        <w:rPr>
          <w:rFonts w:hint="eastAsia" w:ascii="宋体" w:hAnsi="宋体" w:cs="宋体"/>
          <w:color w:val="000000"/>
          <w:lang w:val="en-US" w:eastAsia="zh-CN"/>
        </w:rPr>
        <w:t>.</w:t>
      </w:r>
      <w:r>
        <w:rPr>
          <w:rFonts w:hint="eastAsia" w:ascii="宋体" w:hAnsi="宋体" w:eastAsia="宋体" w:cs="宋体"/>
          <w:color w:val="000000"/>
        </w:rPr>
        <w:t>报名办法：申请人登录暨南大学研究生院</w:t>
      </w:r>
      <w:r>
        <w:rPr>
          <w:rFonts w:hint="eastAsia" w:ascii="宋体" w:hAnsi="宋体" w:cs="宋体"/>
          <w:color w:val="000000"/>
          <w:lang w:eastAsia="zh-CN"/>
        </w:rPr>
        <w:t>官网</w:t>
      </w:r>
      <w:r>
        <w:rPr>
          <w:rFonts w:hint="eastAsia" w:ascii="宋体" w:hAnsi="宋体" w:eastAsia="宋体" w:cs="宋体"/>
          <w:color w:val="000000"/>
        </w:rPr>
        <w:t>——</w:t>
      </w:r>
      <w:r>
        <w:rPr>
          <w:rFonts w:hint="eastAsia" w:ascii="宋体" w:hAnsi="宋体" w:cs="宋体"/>
          <w:color w:val="000000"/>
          <w:lang w:eastAsia="zh-CN"/>
        </w:rPr>
        <w:t>左侧“研究生教育相关</w:t>
      </w:r>
      <w:r>
        <w:rPr>
          <w:rFonts w:hint="eastAsia" w:ascii="宋体" w:hAnsi="宋体" w:eastAsia="宋体" w:cs="宋体"/>
          <w:color w:val="000000"/>
        </w:rPr>
        <w:t>系统”——</w:t>
      </w:r>
      <w:r>
        <w:rPr>
          <w:rFonts w:hint="eastAsia" w:ascii="宋体" w:hAnsi="宋体" w:cs="宋体"/>
          <w:color w:val="000000"/>
          <w:lang w:eastAsia="zh-CN"/>
        </w:rPr>
        <w:t>点击</w:t>
      </w:r>
      <w:r>
        <w:rPr>
          <w:rFonts w:hint="eastAsia" w:ascii="宋体" w:hAnsi="宋体" w:eastAsia="宋体" w:cs="宋体"/>
          <w:color w:val="000000"/>
        </w:rPr>
        <w:t>“高级研修课程报名”。（请使用谷歌浏览器</w:t>
      </w:r>
      <w:r>
        <w:rPr>
          <w:rFonts w:hint="eastAsia" w:ascii="宋体" w:hAnsi="宋体" w:cs="宋体"/>
          <w:color w:val="000000"/>
          <w:lang w:eastAsia="zh-CN"/>
        </w:rPr>
        <w:t>或</w:t>
      </w:r>
      <w:r>
        <w:rPr>
          <w:rFonts w:hint="eastAsia" w:ascii="宋体" w:hAnsi="宋体" w:eastAsia="宋体" w:cs="宋体"/>
          <w:color w:val="000000"/>
        </w:rPr>
        <w:t>360极速模式）</w:t>
      </w:r>
    </w:p>
    <w:p w14:paraId="0D47B6BE">
      <w:pPr>
        <w:pStyle w:val="3"/>
        <w:widowControl/>
        <w:spacing w:line="368" w:lineRule="atLeast"/>
        <w:ind w:firstLine="420"/>
        <w:rPr>
          <w:rFonts w:hint="eastAsia" w:ascii="宋体" w:hAnsi="宋体" w:eastAsia="宋体" w:cs="宋体"/>
          <w:color w:val="000000"/>
        </w:rPr>
      </w:pPr>
      <w:r>
        <w:rPr>
          <w:rFonts w:hint="eastAsia" w:ascii="宋体" w:hAnsi="宋体" w:eastAsia="宋体" w:cs="宋体"/>
          <w:color w:val="000000"/>
        </w:rPr>
        <w:t> 3</w:t>
      </w:r>
      <w:r>
        <w:rPr>
          <w:rFonts w:hint="eastAsia" w:ascii="宋体" w:hAnsi="宋体" w:cs="宋体"/>
          <w:color w:val="000000"/>
          <w:lang w:val="en-US" w:eastAsia="zh-CN"/>
        </w:rPr>
        <w:t>.</w:t>
      </w:r>
      <w:r>
        <w:rPr>
          <w:rFonts w:hint="eastAsia" w:ascii="宋体" w:hAnsi="宋体" w:eastAsia="宋体" w:cs="宋体"/>
          <w:color w:val="000000"/>
        </w:rPr>
        <w:t>网上报名结束后</w:t>
      </w:r>
      <w:r>
        <w:rPr>
          <w:rFonts w:hint="eastAsia" w:ascii="宋体" w:hAnsi="宋体" w:eastAsia="宋体" w:cs="宋体"/>
          <w:b/>
          <w:bCs/>
          <w:color w:val="000000"/>
        </w:rPr>
        <w:t>同时递交以下材料给所报读院系</w:t>
      </w:r>
      <w:r>
        <w:rPr>
          <w:rFonts w:hint="eastAsia" w:ascii="宋体" w:hAnsi="宋体" w:eastAsia="宋体" w:cs="宋体"/>
          <w:color w:val="000000"/>
        </w:rPr>
        <w:t>：</w:t>
      </w:r>
    </w:p>
    <w:p w14:paraId="26DCA488">
      <w:pPr>
        <w:pStyle w:val="3"/>
        <w:widowControl/>
        <w:spacing w:line="368" w:lineRule="atLeast"/>
        <w:ind w:firstLine="420"/>
        <w:rPr>
          <w:rFonts w:hint="default" w:ascii="宋体" w:hAnsi="宋体" w:eastAsia="宋体" w:cs="宋体"/>
          <w:color w:val="000000"/>
          <w:lang w:val="en-US" w:eastAsia="zh-CN"/>
        </w:rPr>
      </w:pPr>
      <w:r>
        <w:rPr>
          <w:rFonts w:hint="eastAsia" w:ascii="宋体" w:hAnsi="宋体" w:eastAsia="宋体" w:cs="宋体"/>
          <w:color w:val="000000"/>
        </w:rPr>
        <w:t> （1）电子版材料：将本人身份证、毕业证书、学位证书、网上报名登记表等材料扫描合成1个PDF文件发送到法学院研管办邮箱：oygfx@jnu.edu.cn</w:t>
      </w:r>
      <w:r>
        <w:rPr>
          <w:rFonts w:hint="eastAsia" w:ascii="宋体" w:hAnsi="宋体" w:cs="宋体"/>
          <w:color w:val="000000"/>
          <w:lang w:eastAsia="zh-CN"/>
        </w:rPr>
        <w:t>，</w:t>
      </w:r>
      <w:r>
        <w:rPr>
          <w:rFonts w:hint="eastAsia" w:ascii="宋体" w:hAnsi="宋体" w:cs="宋体"/>
          <w:color w:val="000000"/>
          <w:lang w:val="en-US" w:eastAsia="zh-CN"/>
        </w:rPr>
        <w:t>文件名：姓名-2026年高级研修课程-报读专业。</w:t>
      </w:r>
    </w:p>
    <w:p w14:paraId="447A8384">
      <w:pPr>
        <w:pStyle w:val="3"/>
        <w:widowControl/>
        <w:spacing w:line="368" w:lineRule="atLeast"/>
        <w:ind w:firstLine="420"/>
        <w:rPr>
          <w:rFonts w:hint="eastAsia" w:ascii="宋体" w:hAnsi="宋体" w:eastAsia="宋体" w:cs="宋体"/>
          <w:color w:val="000000"/>
        </w:rPr>
      </w:pPr>
      <w:r>
        <w:rPr>
          <w:rFonts w:hint="eastAsia" w:ascii="宋体" w:hAnsi="宋体" w:eastAsia="宋体" w:cs="宋体"/>
          <w:color w:val="000000"/>
        </w:rPr>
        <w:t> （2）纸质版材料：将本人身份证、毕业证书、学位证书、网上报名登记表</w:t>
      </w:r>
      <w:r>
        <w:rPr>
          <w:rFonts w:hint="eastAsia" w:ascii="宋体" w:hAnsi="宋体" w:cs="宋体"/>
          <w:color w:val="000000"/>
          <w:lang w:val="en-US" w:eastAsia="zh-CN"/>
        </w:rPr>
        <w:t>复印</w:t>
      </w:r>
      <w:r>
        <w:rPr>
          <w:rFonts w:hint="eastAsia" w:ascii="宋体" w:hAnsi="宋体" w:eastAsia="宋体" w:cs="宋体"/>
          <w:color w:val="000000"/>
        </w:rPr>
        <w:t>件，一寸免冠近照2张（照片背面用铅笔备注本人姓名）使用</w:t>
      </w:r>
      <w:r>
        <w:rPr>
          <w:rFonts w:hint="eastAsia" w:ascii="宋体" w:hAnsi="宋体" w:cs="宋体"/>
          <w:b/>
          <w:bCs/>
          <w:color w:val="000000"/>
          <w:lang w:eastAsia="zh-CN"/>
        </w:rPr>
        <w:t>顺丰</w:t>
      </w:r>
      <w:r>
        <w:rPr>
          <w:rFonts w:hint="eastAsia" w:ascii="宋体" w:hAnsi="宋体" w:eastAsia="宋体" w:cs="宋体"/>
          <w:color w:val="000000"/>
        </w:rPr>
        <w:t>快递寄至广州市</w:t>
      </w:r>
      <w:r>
        <w:rPr>
          <w:rFonts w:hint="eastAsia" w:ascii="宋体" w:hAnsi="宋体" w:cs="宋体"/>
          <w:color w:val="000000"/>
          <w:lang w:eastAsia="zh-CN"/>
        </w:rPr>
        <w:t>番禺</w:t>
      </w:r>
      <w:r>
        <w:rPr>
          <w:rFonts w:hint="eastAsia" w:ascii="宋体" w:hAnsi="宋体" w:eastAsia="宋体" w:cs="宋体"/>
          <w:color w:val="000000"/>
        </w:rPr>
        <w:t>区</w:t>
      </w:r>
      <w:r>
        <w:rPr>
          <w:rFonts w:hint="eastAsia" w:ascii="宋体" w:hAnsi="宋体" w:cs="宋体"/>
          <w:color w:val="000000"/>
          <w:lang w:eastAsia="zh-CN"/>
        </w:rPr>
        <w:t>新造镇兴业</w:t>
      </w:r>
      <w:r>
        <w:rPr>
          <w:rFonts w:hint="eastAsia" w:ascii="宋体" w:hAnsi="宋体" w:eastAsia="宋体" w:cs="宋体"/>
          <w:color w:val="000000"/>
        </w:rPr>
        <w:t>大道</w:t>
      </w:r>
      <w:r>
        <w:rPr>
          <w:rFonts w:hint="eastAsia" w:ascii="宋体" w:hAnsi="宋体" w:cs="宋体"/>
          <w:color w:val="000000"/>
          <w:lang w:eastAsia="zh-CN"/>
        </w:rPr>
        <w:t>东</w:t>
      </w:r>
      <w:r>
        <w:rPr>
          <w:rFonts w:hint="eastAsia" w:ascii="宋体" w:hAnsi="宋体" w:cs="宋体"/>
          <w:color w:val="000000"/>
          <w:lang w:val="en-US" w:eastAsia="zh-CN"/>
        </w:rPr>
        <w:t>855号</w:t>
      </w:r>
      <w:r>
        <w:rPr>
          <w:rFonts w:hint="eastAsia" w:ascii="宋体" w:hAnsi="宋体" w:eastAsia="宋体" w:cs="宋体"/>
          <w:color w:val="000000"/>
        </w:rPr>
        <w:t>暨南大学</w:t>
      </w:r>
      <w:r>
        <w:rPr>
          <w:rFonts w:hint="eastAsia" w:ascii="宋体" w:hAnsi="宋体" w:cs="宋体"/>
          <w:color w:val="000000"/>
          <w:lang w:eastAsia="zh-CN"/>
        </w:rPr>
        <w:t>知识产权大</w:t>
      </w:r>
      <w:r>
        <w:rPr>
          <w:rFonts w:hint="eastAsia" w:ascii="宋体" w:hAnsi="宋体" w:eastAsia="宋体" w:cs="宋体"/>
          <w:color w:val="000000"/>
        </w:rPr>
        <w:t>楼</w:t>
      </w:r>
      <w:r>
        <w:rPr>
          <w:rFonts w:hint="eastAsia" w:ascii="宋体" w:hAnsi="宋体" w:cs="宋体"/>
          <w:color w:val="000000"/>
          <w:lang w:val="en-US" w:eastAsia="zh-CN"/>
        </w:rPr>
        <w:t>809</w:t>
      </w:r>
      <w:r>
        <w:rPr>
          <w:rFonts w:hint="eastAsia" w:ascii="宋体" w:hAnsi="宋体" w:eastAsia="宋体" w:cs="宋体"/>
          <w:color w:val="000000"/>
        </w:rPr>
        <w:t>办公室，</w:t>
      </w:r>
      <w:r>
        <w:rPr>
          <w:rFonts w:hint="eastAsia" w:ascii="宋体" w:hAnsi="宋体" w:cs="宋体"/>
          <w:color w:val="000000"/>
          <w:lang w:val="en-US" w:eastAsia="zh-CN"/>
        </w:rPr>
        <w:t>林</w:t>
      </w:r>
      <w:r>
        <w:rPr>
          <w:rFonts w:hint="eastAsia" w:ascii="宋体" w:hAnsi="宋体" w:eastAsia="宋体" w:cs="宋体"/>
          <w:color w:val="000000"/>
        </w:rPr>
        <w:t>老师</w:t>
      </w:r>
      <w:r>
        <w:rPr>
          <w:rFonts w:hint="eastAsia" w:ascii="宋体" w:hAnsi="宋体" w:cs="宋体"/>
          <w:color w:val="000000"/>
          <w:lang w:val="en-US" w:eastAsia="zh-CN"/>
        </w:rPr>
        <w:t>/余老师</w:t>
      </w:r>
      <w:r>
        <w:rPr>
          <w:rFonts w:hint="eastAsia" w:ascii="宋体" w:hAnsi="宋体" w:eastAsia="宋体" w:cs="宋体"/>
          <w:color w:val="000000"/>
        </w:rPr>
        <w:t>收，020-</w:t>
      </w:r>
      <w:r>
        <w:rPr>
          <w:rFonts w:hint="eastAsia" w:ascii="宋体" w:hAnsi="宋体" w:cs="宋体"/>
          <w:color w:val="000000"/>
          <w:lang w:val="en-US" w:eastAsia="zh-CN"/>
        </w:rPr>
        <w:t>37330531</w:t>
      </w:r>
      <w:r>
        <w:rPr>
          <w:rFonts w:hint="eastAsia" w:ascii="宋体" w:hAnsi="宋体" w:eastAsia="宋体" w:cs="宋体"/>
          <w:color w:val="000000"/>
        </w:rPr>
        <w:t>；</w:t>
      </w:r>
    </w:p>
    <w:p w14:paraId="42EFCB58">
      <w:pPr>
        <w:pStyle w:val="3"/>
        <w:widowControl/>
        <w:spacing w:line="368" w:lineRule="atLeast"/>
        <w:ind w:firstLine="420"/>
        <w:rPr>
          <w:rFonts w:hint="eastAsia" w:ascii="宋体" w:hAnsi="宋体" w:eastAsia="宋体" w:cs="宋体"/>
          <w:color w:val="000000"/>
        </w:rPr>
      </w:pPr>
      <w:r>
        <w:rPr>
          <w:rFonts w:hint="eastAsia" w:ascii="宋体" w:hAnsi="宋体" w:eastAsia="宋体" w:cs="宋体"/>
          <w:color w:val="000000"/>
        </w:rPr>
        <w:t xml:space="preserve"> </w:t>
      </w:r>
      <w:r>
        <w:rPr>
          <w:rFonts w:hint="eastAsia" w:ascii="宋体" w:hAnsi="宋体" w:cs="宋体"/>
          <w:color w:val="000000"/>
          <w:lang w:val="en-US" w:eastAsia="zh-CN"/>
        </w:rPr>
        <w:t xml:space="preserve"> </w:t>
      </w:r>
      <w:r>
        <w:rPr>
          <w:rFonts w:hint="eastAsia" w:ascii="宋体" w:hAnsi="宋体" w:eastAsia="宋体" w:cs="宋体"/>
          <w:color w:val="000000"/>
        </w:rPr>
        <w:t>（3）以上材料原件待开学后复查。</w:t>
      </w:r>
    </w:p>
    <w:p w14:paraId="09C59757">
      <w:pPr>
        <w:pStyle w:val="3"/>
        <w:widowControl/>
        <w:spacing w:line="368" w:lineRule="atLeast"/>
        <w:ind w:firstLine="420"/>
      </w:pPr>
      <w:r>
        <w:rPr>
          <w:rFonts w:ascii="Helvetica" w:hAnsi="Helvetica" w:eastAsia="Helvetica" w:cs="Helvetica"/>
          <w:color w:val="000000"/>
        </w:rPr>
        <w:t> </w:t>
      </w:r>
    </w:p>
    <w:p w14:paraId="3CFDE58B">
      <w:pPr>
        <w:pStyle w:val="3"/>
        <w:widowControl/>
        <w:spacing w:line="368" w:lineRule="atLeast"/>
        <w:ind w:firstLine="420"/>
        <w:rPr>
          <w:rFonts w:ascii="Helvetica" w:hAnsi="Helvetica" w:cs="Helvetica"/>
          <w:b/>
          <w:bCs/>
          <w:color w:val="000000"/>
        </w:rPr>
      </w:pPr>
      <w:r>
        <w:rPr>
          <w:rFonts w:ascii="Helvetica" w:hAnsi="Helvetica" w:eastAsia="Helvetica" w:cs="Helvetica"/>
          <w:b/>
          <w:bCs/>
          <w:color w:val="000000"/>
        </w:rPr>
        <w:t>【录取与缴费】</w:t>
      </w:r>
    </w:p>
    <w:p w14:paraId="7AC44F4B">
      <w:pPr>
        <w:pStyle w:val="3"/>
        <w:widowControl/>
        <w:spacing w:line="368" w:lineRule="atLeast"/>
        <w:ind w:firstLine="420"/>
        <w:rPr>
          <w:rFonts w:hint="eastAsia" w:ascii="宋体" w:hAnsi="宋体" w:eastAsia="宋体" w:cs="宋体"/>
          <w:color w:val="000000"/>
        </w:rPr>
      </w:pPr>
      <w:r>
        <w:rPr>
          <w:rFonts w:hint="eastAsia" w:ascii="宋体" w:hAnsi="宋体" w:eastAsia="宋体" w:cs="宋体"/>
          <w:color w:val="000000"/>
        </w:rPr>
        <w:t> 1</w:t>
      </w:r>
      <w:r>
        <w:rPr>
          <w:rFonts w:hint="eastAsia" w:ascii="宋体" w:hAnsi="宋体" w:cs="宋体"/>
          <w:color w:val="000000"/>
          <w:lang w:val="en-US" w:eastAsia="zh-CN"/>
        </w:rPr>
        <w:t>.9</w:t>
      </w:r>
      <w:r>
        <w:rPr>
          <w:rFonts w:hint="eastAsia" w:ascii="宋体" w:hAnsi="宋体" w:eastAsia="宋体" w:cs="宋体"/>
          <w:color w:val="000000"/>
        </w:rPr>
        <w:t>月</w:t>
      </w:r>
      <w:r>
        <w:rPr>
          <w:rFonts w:hint="eastAsia" w:ascii="宋体" w:hAnsi="宋体" w:cs="宋体"/>
          <w:color w:val="000000"/>
          <w:lang w:val="en-US" w:eastAsia="zh-CN"/>
        </w:rPr>
        <w:t>7</w:t>
      </w:r>
      <w:r>
        <w:rPr>
          <w:rFonts w:hint="eastAsia" w:ascii="宋体" w:hAnsi="宋体" w:eastAsia="宋体" w:cs="宋体"/>
          <w:color w:val="000000"/>
        </w:rPr>
        <w:t>日学院对申请人进行资料审查；</w:t>
      </w:r>
    </w:p>
    <w:p w14:paraId="4149618D">
      <w:pPr>
        <w:pStyle w:val="3"/>
        <w:widowControl/>
        <w:spacing w:line="368" w:lineRule="atLeast"/>
        <w:ind w:firstLine="420"/>
        <w:rPr>
          <w:rFonts w:hint="eastAsia" w:ascii="宋体" w:hAnsi="宋体" w:eastAsia="宋体" w:cs="宋体"/>
        </w:rPr>
      </w:pPr>
      <w:r>
        <w:rPr>
          <w:rFonts w:hint="eastAsia" w:ascii="宋体" w:hAnsi="宋体" w:eastAsia="宋体" w:cs="宋体"/>
          <w:color w:val="000000"/>
        </w:rPr>
        <w:t> 2</w:t>
      </w:r>
      <w:r>
        <w:rPr>
          <w:rFonts w:hint="eastAsia" w:ascii="宋体" w:hAnsi="宋体" w:cs="宋体"/>
          <w:color w:val="000000"/>
          <w:lang w:val="en-US" w:eastAsia="zh-CN"/>
        </w:rPr>
        <w:t>.9</w:t>
      </w:r>
      <w:r>
        <w:rPr>
          <w:rFonts w:hint="eastAsia" w:ascii="宋体" w:hAnsi="宋体" w:eastAsia="宋体" w:cs="宋体"/>
          <w:color w:val="000000"/>
        </w:rPr>
        <w:t>月</w:t>
      </w:r>
      <w:r>
        <w:rPr>
          <w:rFonts w:hint="eastAsia" w:ascii="宋体" w:hAnsi="宋体" w:cs="宋体"/>
          <w:color w:val="000000"/>
          <w:lang w:val="en-US" w:eastAsia="zh-CN"/>
        </w:rPr>
        <w:t>10</w:t>
      </w:r>
      <w:r>
        <w:rPr>
          <w:rFonts w:hint="eastAsia" w:ascii="宋体" w:hAnsi="宋体" w:eastAsia="宋体" w:cs="宋体"/>
          <w:color w:val="000000"/>
        </w:rPr>
        <w:t>日前，申请人按照上述网上报名路径，查询审核结果；通过审核的申请人，须在</w:t>
      </w:r>
      <w:r>
        <w:rPr>
          <w:rFonts w:hint="eastAsia" w:ascii="宋体" w:hAnsi="宋体" w:cs="宋体"/>
          <w:color w:val="000000"/>
          <w:lang w:val="en-US" w:eastAsia="zh-CN"/>
        </w:rPr>
        <w:t>9</w:t>
      </w:r>
      <w:r>
        <w:rPr>
          <w:rFonts w:hint="eastAsia" w:ascii="宋体" w:hAnsi="宋体" w:eastAsia="宋体" w:cs="宋体"/>
          <w:color w:val="000000"/>
        </w:rPr>
        <w:t>月</w:t>
      </w:r>
      <w:r>
        <w:rPr>
          <w:rFonts w:hint="eastAsia" w:ascii="宋体" w:hAnsi="宋体" w:cs="宋体"/>
          <w:color w:val="000000"/>
          <w:lang w:val="en-US" w:eastAsia="zh-CN"/>
        </w:rPr>
        <w:t>10</w:t>
      </w:r>
      <w:r>
        <w:rPr>
          <w:rFonts w:hint="eastAsia" w:ascii="宋体" w:hAnsi="宋体" w:eastAsia="宋体" w:cs="宋体"/>
          <w:color w:val="000000"/>
        </w:rPr>
        <w:t>日前通过报名系统缴纳学费；逾期未缴纳学费者不予补办。</w:t>
      </w:r>
    </w:p>
    <w:p w14:paraId="2DA55D14">
      <w:pPr>
        <w:pStyle w:val="3"/>
        <w:widowControl/>
        <w:spacing w:line="368" w:lineRule="atLeast"/>
        <w:ind w:firstLine="420"/>
      </w:pPr>
      <w:r>
        <w:rPr>
          <w:rFonts w:ascii="Helvetica" w:hAnsi="Helvetica" w:eastAsia="Helvetica" w:cs="Helvetica"/>
          <w:color w:val="000000"/>
        </w:rPr>
        <w:t>  </w:t>
      </w:r>
    </w:p>
    <w:p w14:paraId="7672D68C">
      <w:pPr>
        <w:pStyle w:val="3"/>
        <w:widowControl/>
        <w:spacing w:line="368" w:lineRule="atLeast"/>
        <w:ind w:firstLine="420"/>
        <w:rPr>
          <w:rFonts w:ascii="Helvetica" w:hAnsi="Helvetica" w:cs="Helvetica"/>
          <w:b/>
          <w:bCs/>
          <w:color w:val="000000"/>
        </w:rPr>
      </w:pPr>
      <w:r>
        <w:rPr>
          <w:rFonts w:ascii="Helvetica" w:hAnsi="Helvetica" w:eastAsia="Helvetica" w:cs="Helvetica"/>
          <w:b/>
          <w:bCs/>
          <w:color w:val="000000"/>
        </w:rPr>
        <w:t>【学费标准及联系方式】</w:t>
      </w:r>
    </w:p>
    <w:p w14:paraId="56CEE7D1">
      <w:pPr>
        <w:pStyle w:val="3"/>
        <w:widowControl/>
        <w:spacing w:line="368" w:lineRule="atLeast"/>
        <w:ind w:firstLine="420"/>
        <w:rPr>
          <w:rFonts w:hint="default" w:ascii="Helvetica" w:hAnsi="Helvetica" w:eastAsia="宋体" w:cs="Helvetica"/>
          <w:color w:val="000000"/>
          <w:lang w:val="en-US" w:eastAsia="zh-CN"/>
        </w:rPr>
      </w:pPr>
      <w:r>
        <w:rPr>
          <w:rFonts w:ascii="Helvetica" w:hAnsi="Helvetica" w:eastAsia="Helvetica" w:cs="Helvetica"/>
          <w:color w:val="000000"/>
        </w:rPr>
        <w:t xml:space="preserve">   </w:t>
      </w:r>
      <w:r>
        <w:rPr>
          <w:rFonts w:hint="eastAsia" w:ascii="Helvetica" w:hAnsi="Helvetica" w:eastAsia="Helvetica" w:cs="Helvetica"/>
          <w:color w:val="0000FF"/>
        </w:rPr>
        <w:t>1. 暨南大学（广州）</w:t>
      </w:r>
      <w:r>
        <w:rPr>
          <w:rFonts w:hint="eastAsia" w:ascii="Helvetica" w:hAnsi="Helvetica" w:cs="Helvetica"/>
          <w:color w:val="0000FF"/>
          <w:lang w:eastAsia="zh-CN"/>
        </w:rPr>
        <w:t>，</w:t>
      </w:r>
      <w:r>
        <w:rPr>
          <w:rFonts w:hint="eastAsia" w:ascii="Helvetica" w:hAnsi="Helvetica" w:cs="Helvetica"/>
          <w:color w:val="0000FF"/>
          <w:lang w:val="en-US" w:eastAsia="zh-CN"/>
        </w:rPr>
        <w:t>实际校区以开课安排为准。</w:t>
      </w:r>
    </w:p>
    <w:p w14:paraId="7AD65AC3">
      <w:pPr>
        <w:pStyle w:val="3"/>
        <w:widowControl/>
        <w:spacing w:line="368" w:lineRule="atLeast"/>
        <w:ind w:firstLine="420"/>
        <w:rPr>
          <w:rFonts w:hint="eastAsia" w:ascii="Helvetica" w:hAnsi="Helvetica" w:eastAsia="Helvetica" w:cs="Helvetica"/>
          <w:color w:val="000000"/>
        </w:rPr>
      </w:pPr>
    </w:p>
    <w:p w14:paraId="69272DD5">
      <w:pPr>
        <w:pStyle w:val="3"/>
        <w:widowControl/>
        <w:spacing w:line="368" w:lineRule="atLeast"/>
        <w:ind w:firstLine="420"/>
      </w:pPr>
      <w:r>
        <w:rPr>
          <w:rFonts w:hint="eastAsia" w:ascii="Helvetica" w:hAnsi="Helvetica" w:eastAsia="Helvetica" w:cs="Helvetica"/>
          <w:color w:val="000000"/>
        </w:rPr>
        <w:t>2. 学费标准：20000元/学年（不含教材资料费，费用按学年缴交，于每学年开学前付清）；学位申请阶段，论文指导费另计（以上各项收费标准最终以暨南大学核定公布为准）。</w:t>
      </w:r>
      <w:r>
        <w:rPr>
          <w:rFonts w:ascii="Helvetica" w:hAnsi="Helvetica" w:eastAsia="Helvetica" w:cs="Helvetica"/>
          <w:color w:val="000000"/>
        </w:rPr>
        <w:t>   联系人：</w:t>
      </w:r>
      <w:r>
        <w:rPr>
          <w:rFonts w:hint="eastAsia" w:ascii="Helvetica" w:hAnsi="Helvetica" w:cs="Helvetica"/>
          <w:color w:val="000000"/>
          <w:lang w:val="en-US" w:eastAsia="zh-CN"/>
        </w:rPr>
        <w:t>林</w:t>
      </w:r>
      <w:r>
        <w:rPr>
          <w:rFonts w:ascii="Helvetica" w:hAnsi="Helvetica" w:eastAsia="Helvetica" w:cs="Helvetica"/>
          <w:color w:val="000000"/>
        </w:rPr>
        <w:t>老师</w:t>
      </w:r>
      <w:r>
        <w:rPr>
          <w:rFonts w:hint="eastAsia" w:ascii="Helvetica" w:hAnsi="Helvetica" w:cs="Helvetica"/>
          <w:color w:val="000000"/>
          <w:lang w:val="en-US" w:eastAsia="zh-CN"/>
        </w:rPr>
        <w:t>/余老师</w:t>
      </w:r>
      <w:r>
        <w:rPr>
          <w:rFonts w:ascii="Helvetica" w:hAnsi="Helvetica" w:eastAsia="Helvetica" w:cs="Helvetica"/>
          <w:color w:val="000000"/>
        </w:rPr>
        <w:t>，联系电话：020-</w:t>
      </w:r>
      <w:r>
        <w:rPr>
          <w:rFonts w:hint="eastAsia" w:ascii="Helvetica" w:hAnsi="Helvetica" w:cs="Helvetica"/>
          <w:color w:val="000000"/>
          <w:lang w:val="en-US" w:eastAsia="zh-CN"/>
        </w:rPr>
        <w:t>37330531</w:t>
      </w:r>
      <w:r>
        <w:rPr>
          <w:rFonts w:ascii="Helvetica" w:hAnsi="Helvetica" w:eastAsia="Helvetica" w:cs="Helvetica"/>
          <w:color w:val="000000"/>
        </w:rPr>
        <w:t>，邮箱：oygfx@jnu.edu.cn</w:t>
      </w:r>
    </w:p>
    <w:p w14:paraId="209E8D96">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Helvetica">
    <w:altName w:val="Arial"/>
    <w:panose1 w:val="020B0604020202020204"/>
    <w:charset w:val="00"/>
    <w:family w:val="swiss"/>
    <w:pitch w:val="default"/>
    <w:sig w:usb0="00000000" w:usb1="00000000" w:usb2="00000000" w:usb3="00000000" w:csb0="00000000"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32A8D4"/>
    <w:multiLevelType w:val="singleLevel"/>
    <w:tmpl w:val="CB32A8D4"/>
    <w:lvl w:ilvl="0" w:tentative="0">
      <w:start w:val="1"/>
      <w:numFmt w:val="decimal"/>
      <w:lvlText w:val="%1."/>
      <w:lvlJc w:val="left"/>
      <w:pPr>
        <w:tabs>
          <w:tab w:val="left" w:pos="312"/>
        </w:tabs>
        <w:ind w:left="486"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hYzNhYzFmMGYyMTc1Y2JjMzVkNzFkNTQ3MDIwMGEifQ=="/>
  </w:docVars>
  <w:rsids>
    <w:rsidRoot w:val="009157F8"/>
    <w:rsid w:val="003361CC"/>
    <w:rsid w:val="009157F8"/>
    <w:rsid w:val="00A12B15"/>
    <w:rsid w:val="00AC7226"/>
    <w:rsid w:val="00BD6D6F"/>
    <w:rsid w:val="00D91E1F"/>
    <w:rsid w:val="00DC594D"/>
    <w:rsid w:val="010A29DC"/>
    <w:rsid w:val="039F7E49"/>
    <w:rsid w:val="07723EFB"/>
    <w:rsid w:val="09F978E8"/>
    <w:rsid w:val="0B78336B"/>
    <w:rsid w:val="0B8E51F0"/>
    <w:rsid w:val="16A82F26"/>
    <w:rsid w:val="280F5943"/>
    <w:rsid w:val="2B020954"/>
    <w:rsid w:val="2FF25A63"/>
    <w:rsid w:val="316D5E96"/>
    <w:rsid w:val="32705150"/>
    <w:rsid w:val="40AE2A0E"/>
    <w:rsid w:val="44D802E9"/>
    <w:rsid w:val="4DC65AE3"/>
    <w:rsid w:val="551F0A14"/>
    <w:rsid w:val="568B27A5"/>
    <w:rsid w:val="579B4C53"/>
    <w:rsid w:val="5EB05131"/>
    <w:rsid w:val="65716EC6"/>
    <w:rsid w:val="69095728"/>
    <w:rsid w:val="6EB30A45"/>
    <w:rsid w:val="70AD68D0"/>
    <w:rsid w:val="79632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autoRedefine/>
    <w:unhideWhenUsed/>
    <w:qFormat/>
    <w:uiPriority w:val="0"/>
    <w:pPr>
      <w:spacing w:line="17" w:lineRule="atLeast"/>
      <w:jc w:val="left"/>
      <w:outlineLvl w:val="3"/>
    </w:pPr>
    <w:rPr>
      <w:rFonts w:ascii="微软雅黑" w:hAnsi="微软雅黑" w:eastAsia="微软雅黑"/>
      <w:b/>
      <w:bCs/>
      <w:kern w:val="0"/>
      <w:sz w:val="27"/>
      <w:szCs w:val="27"/>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3">
    <w:name w:val="Normal (Web)"/>
    <w:basedOn w:val="1"/>
    <w:autoRedefine/>
    <w:qFormat/>
    <w:uiPriority w:val="0"/>
    <w:pPr>
      <w:jc w:val="left"/>
    </w:pPr>
    <w:rPr>
      <w:kern w:val="0"/>
      <w:sz w:val="24"/>
    </w:rPr>
  </w:style>
  <w:style w:type="character" w:styleId="6">
    <w:name w:val="Strong"/>
    <w:basedOn w:val="5"/>
    <w:autoRedefine/>
    <w:qFormat/>
    <w:uiPriority w:val="0"/>
    <w:rPr>
      <w:b/>
      <w:bCs/>
    </w:rPr>
  </w:style>
  <w:style w:type="character" w:styleId="7">
    <w:name w:val="FollowedHyperlink"/>
    <w:basedOn w:val="5"/>
    <w:autoRedefine/>
    <w:qFormat/>
    <w:uiPriority w:val="0"/>
    <w:rPr>
      <w:color w:val="337AB7"/>
      <w:u w:val="none"/>
    </w:rPr>
  </w:style>
  <w:style w:type="character" w:styleId="8">
    <w:name w:val="Emphasis"/>
    <w:basedOn w:val="5"/>
    <w:autoRedefine/>
    <w:qFormat/>
    <w:uiPriority w:val="0"/>
  </w:style>
  <w:style w:type="character" w:styleId="9">
    <w:name w:val="HTML Definition"/>
    <w:basedOn w:val="5"/>
    <w:autoRedefine/>
    <w:qFormat/>
    <w:uiPriority w:val="0"/>
    <w:rPr>
      <w:i/>
      <w:iCs/>
    </w:rPr>
  </w:style>
  <w:style w:type="character" w:styleId="10">
    <w:name w:val="Hyperlink"/>
    <w:basedOn w:val="5"/>
    <w:autoRedefine/>
    <w:qFormat/>
    <w:uiPriority w:val="0"/>
    <w:rPr>
      <w:color w:val="337AB7"/>
      <w:u w:val="none"/>
    </w:rPr>
  </w:style>
  <w:style w:type="character" w:styleId="11">
    <w:name w:val="HTML Code"/>
    <w:basedOn w:val="5"/>
    <w:autoRedefine/>
    <w:qFormat/>
    <w:uiPriority w:val="0"/>
    <w:rPr>
      <w:rFonts w:hint="default" w:ascii="Consolas" w:hAnsi="Consolas" w:eastAsia="Consolas" w:cs="Consolas"/>
      <w:color w:val="C7254E"/>
      <w:sz w:val="21"/>
      <w:szCs w:val="21"/>
      <w:shd w:val="clear" w:color="auto" w:fill="F9F2F4"/>
    </w:rPr>
  </w:style>
  <w:style w:type="character" w:styleId="12">
    <w:name w:val="HTML Keyboard"/>
    <w:basedOn w:val="5"/>
    <w:autoRedefine/>
    <w:qFormat/>
    <w:uiPriority w:val="0"/>
    <w:rPr>
      <w:rFonts w:hint="default" w:ascii="Consolas" w:hAnsi="Consolas" w:eastAsia="Consolas" w:cs="Consolas"/>
      <w:color w:val="FFFFFF"/>
      <w:sz w:val="21"/>
      <w:szCs w:val="21"/>
      <w:shd w:val="clear" w:color="auto" w:fill="333333"/>
    </w:rPr>
  </w:style>
  <w:style w:type="character" w:styleId="13">
    <w:name w:val="HTML Sample"/>
    <w:basedOn w:val="5"/>
    <w:autoRedefine/>
    <w:qFormat/>
    <w:uiPriority w:val="0"/>
    <w:rPr>
      <w:rFonts w:ascii="Consolas" w:hAnsi="Consolas" w:eastAsia="Consolas" w:cs="Consolas"/>
      <w:sz w:val="21"/>
      <w:szCs w:val="21"/>
    </w:rPr>
  </w:style>
  <w:style w:type="character" w:customStyle="1" w:styleId="14">
    <w:name w:val="item-name"/>
    <w:basedOn w:val="5"/>
    <w:autoRedefine/>
    <w:qFormat/>
    <w:uiPriority w:val="0"/>
  </w:style>
  <w:style w:type="character" w:customStyle="1" w:styleId="15">
    <w:name w:val="item-name1"/>
    <w:basedOn w:val="5"/>
    <w:autoRedefine/>
    <w:qFormat/>
    <w:uiPriority w:val="0"/>
  </w:style>
  <w:style w:type="character" w:customStyle="1" w:styleId="16">
    <w:name w:val="xubox_tabnow"/>
    <w:basedOn w:val="5"/>
    <w:autoRedefine/>
    <w:qFormat/>
    <w:uiPriority w:val="0"/>
    <w:rPr>
      <w:bdr w:val="single" w:color="CCCCCC" w:sz="6" w:space="0"/>
      <w:shd w:val="clear" w:color="auto" w:fill="FFFFFF"/>
    </w:rPr>
  </w:style>
  <w:style w:type="character" w:customStyle="1" w:styleId="17">
    <w:name w:val="pages"/>
    <w:basedOn w:val="5"/>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975</Words>
  <Characters>994</Characters>
  <Lines>12</Lines>
  <Paragraphs>3</Paragraphs>
  <TotalTime>25</TotalTime>
  <ScaleCrop>false</ScaleCrop>
  <LinksUpToDate>false</LinksUpToDate>
  <CharactersWithSpaces>1005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2022-07-06T02:03:00Z</dcterms:created>
  <dc:creator>A</dc:creator>
  <cp:lastModifiedBy>Fielding</cp:lastModifiedBy>
  <dcterms:modified xsi:type="dcterms:W3CDTF">2026-03-30T07:24:59Z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EA14BBDB805243FF8D2D3824422C6B62_13</vt:lpwstr>
  </property>
  <property fmtid="{D5CDD505-2E9C-101B-9397-08002B2CF9AE}" pid="4" name="KSOTemplateDocerSaveRecord">
    <vt:lpwstr>eyJoZGlkIjoiYTRjYTRjMDE4YjZmZWZmODUxYWFmM2M0MDRjN2JhODAiLCJ1c2VySWQiOiI0MTUxMzQxMjcifQ==</vt:lpwstr>
  </property>
</Properties>
</file>