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2"/>
        <w:widowControl/>
        <w:shd w:val="clear" w:color="auto" w:fill="FCFBF8"/>
        <w:spacing w:beforeAutospacing="0" w:afterAutospacing="0"/>
        <w:jc w:val="center"/>
        <w:rPr>
          <w:rFonts w:hint="eastAsia" w:eastAsia="宋体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</w:pPr>
      <w:r>
        <w:rPr>
          <w:rFonts w:cs="宋体"/>
          <w:b/>
          <w:bCs w:val="0"/>
          <w:color w:val="333333"/>
          <w:sz w:val="24"/>
          <w:szCs w:val="24"/>
          <w:shd w:val="clear" w:color="auto" w:fill="FCFBF8"/>
        </w:rPr>
        <w:t>2018年新增研究生导师培训会参会名额分配</w:t>
      </w: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  <w:t>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培养单位</w:t>
            </w:r>
          </w:p>
        </w:tc>
        <w:tc>
          <w:tcPr>
            <w:tcW w:w="304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产业经济研究院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大数据所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第一临床医学院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法学院\知识产权学院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翻译学院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光子技术研究院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华文学院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环境气候研究院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基础医学院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口腔医学院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理工学院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力学与建筑工程学院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生命科学技术学院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生物医学转化研究院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衰老与再生医学研究院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先进耐磨蚀及功能材料研究院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心理咨询中心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新闻与传播学院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信息科学技术学院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粤港澳中枢神经再生研究院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中医学院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1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774E"/>
    <w:rsid w:val="28C609B4"/>
    <w:rsid w:val="3AA077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2018-05-18T02:51:00Z</dcterms:created>
  <dc:creator>叶杨馨</dc:creator>
  <cp:lastModifiedBy>叶杨馨</cp:lastModifiedBy>
  <cp:lastPrinted>2018-05-18T03:34:20Z</cp:lastPrinted>
  <dcterms:modified xsi:type="dcterms:W3CDTF">2018-05-18T04:01:39Z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